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1113E" w14:textId="54A73973" w:rsidR="00A82EF9" w:rsidRPr="00DF5764" w:rsidRDefault="00A82EF9" w:rsidP="00A82EF9">
      <w:pPr>
        <w:widowControl w:val="0"/>
        <w:tabs>
          <w:tab w:val="right" w:pos="9639"/>
        </w:tabs>
        <w:overflowPunct w:val="0"/>
        <w:autoSpaceDE w:val="0"/>
        <w:autoSpaceDN w:val="0"/>
        <w:adjustRightInd w:val="0"/>
        <w:jc w:val="both"/>
        <w:textAlignment w:val="baseline"/>
        <w:rPr>
          <w:rFonts w:ascii="Times New Roman" w:eastAsia="宋体" w:hAnsi="Times New Roman"/>
          <w:b/>
          <w:noProof/>
          <w:sz w:val="24"/>
          <w:szCs w:val="20"/>
          <w:lang w:eastAsia="zh-CN"/>
        </w:rPr>
      </w:pPr>
      <w:r w:rsidRPr="00DF5764">
        <w:rPr>
          <w:rFonts w:ascii="Times New Roman" w:eastAsia="宋体" w:hAnsi="Times New Roman"/>
          <w:b/>
          <w:noProof/>
          <w:sz w:val="24"/>
          <w:szCs w:val="20"/>
          <w:lang w:eastAsia="zh-CN"/>
        </w:rPr>
        <w:t>3GPP TSG-RAN WG2 Meeting #123</w:t>
      </w:r>
      <w:r w:rsidRPr="00DF5764">
        <w:rPr>
          <w:rFonts w:ascii="Times New Roman" w:eastAsia="宋体" w:hAnsi="Times New Roman"/>
          <w:b/>
          <w:noProof/>
          <w:sz w:val="24"/>
          <w:szCs w:val="20"/>
          <w:lang w:eastAsia="zh-CN"/>
        </w:rPr>
        <w:tab/>
        <w:t>R2-</w:t>
      </w:r>
      <w:r w:rsidR="00530E0C">
        <w:rPr>
          <w:rFonts w:ascii="Times New Roman" w:eastAsia="宋体" w:hAnsi="Times New Roman"/>
          <w:b/>
          <w:noProof/>
          <w:sz w:val="24"/>
          <w:szCs w:val="20"/>
          <w:lang w:eastAsia="zh-CN"/>
        </w:rPr>
        <w:t>2307181</w:t>
      </w:r>
    </w:p>
    <w:p w14:paraId="1C5F70D6" w14:textId="77777777" w:rsidR="00A82EF9" w:rsidRPr="007022BC" w:rsidRDefault="00A82EF9" w:rsidP="00A82EF9">
      <w:pPr>
        <w:widowControl w:val="0"/>
        <w:tabs>
          <w:tab w:val="right" w:pos="9639"/>
        </w:tabs>
        <w:overflowPunct w:val="0"/>
        <w:autoSpaceDE w:val="0"/>
        <w:autoSpaceDN w:val="0"/>
        <w:adjustRightInd w:val="0"/>
        <w:jc w:val="both"/>
        <w:textAlignment w:val="baseline"/>
        <w:rPr>
          <w:rFonts w:ascii="Times New Roman" w:eastAsia="宋体" w:hAnsi="Times New Roman"/>
          <w:b/>
          <w:noProof/>
          <w:sz w:val="24"/>
          <w:szCs w:val="20"/>
          <w:lang w:eastAsia="zh-CN"/>
        </w:rPr>
      </w:pPr>
      <w:r w:rsidRPr="00DF5764">
        <w:rPr>
          <w:rFonts w:ascii="Times New Roman" w:eastAsia="宋体" w:hAnsi="Times New Roman"/>
          <w:b/>
          <w:noProof/>
          <w:sz w:val="24"/>
          <w:szCs w:val="20"/>
          <w:lang w:eastAsia="zh-CN"/>
        </w:rPr>
        <w:t>Toulouse, France, August 21-25, 2023</w:t>
      </w:r>
    </w:p>
    <w:p w14:paraId="620938B8" w14:textId="77777777" w:rsidR="00183B47" w:rsidRPr="007022BC" w:rsidRDefault="00183B47" w:rsidP="00183B47">
      <w:pPr>
        <w:widowControl w:val="0"/>
        <w:overflowPunct w:val="0"/>
        <w:autoSpaceDE w:val="0"/>
        <w:autoSpaceDN w:val="0"/>
        <w:adjustRightInd w:val="0"/>
        <w:jc w:val="both"/>
        <w:textAlignment w:val="baseline"/>
        <w:rPr>
          <w:rFonts w:ascii="Times New Roman" w:eastAsia="宋体" w:hAnsi="Times New Roman"/>
          <w:b/>
          <w:color w:val="000000"/>
          <w:kern w:val="2"/>
          <w:sz w:val="24"/>
          <w:lang w:eastAsia="zh-CN"/>
        </w:rPr>
      </w:pPr>
    </w:p>
    <w:p w14:paraId="16D1CE93" w14:textId="0677666F" w:rsidR="00183B47" w:rsidRPr="007022BC" w:rsidRDefault="00183B47" w:rsidP="00183B47">
      <w:pPr>
        <w:jc w:val="both"/>
        <w:rPr>
          <w:rFonts w:ascii="Times New Roman" w:eastAsia="宋体" w:hAnsi="Times New Roman"/>
          <w:b/>
          <w:bCs/>
          <w:sz w:val="24"/>
          <w:szCs w:val="20"/>
          <w:lang w:eastAsia="zh-CN"/>
        </w:rPr>
      </w:pPr>
      <w:r w:rsidRPr="007022BC">
        <w:rPr>
          <w:rFonts w:ascii="Times New Roman" w:eastAsia="MS Mincho" w:hAnsi="Times New Roman"/>
          <w:b/>
          <w:bCs/>
          <w:sz w:val="24"/>
          <w:szCs w:val="20"/>
        </w:rPr>
        <w:t>Agenda</w:t>
      </w:r>
      <w:r w:rsidRPr="007022BC">
        <w:rPr>
          <w:rFonts w:ascii="Times New Roman" w:eastAsia="宋体" w:hAnsi="Times New Roman"/>
          <w:b/>
          <w:bCs/>
          <w:kern w:val="2"/>
          <w:sz w:val="24"/>
          <w:lang w:eastAsia="zh-CN"/>
        </w:rPr>
        <w:t xml:space="preserve"> item:</w:t>
      </w:r>
      <w:r w:rsidRPr="007022BC">
        <w:rPr>
          <w:rFonts w:ascii="Times New Roman" w:eastAsia="宋体" w:hAnsi="Times New Roman"/>
          <w:b/>
          <w:bCs/>
          <w:kern w:val="2"/>
          <w:sz w:val="24"/>
          <w:lang w:eastAsia="zh-CN"/>
        </w:rPr>
        <w:tab/>
      </w:r>
      <w:r w:rsidRPr="007022BC">
        <w:rPr>
          <w:rFonts w:ascii="Times New Roman" w:eastAsia="宋体" w:hAnsi="Times New Roman"/>
          <w:b/>
          <w:bCs/>
          <w:kern w:val="2"/>
          <w:sz w:val="24"/>
          <w:lang w:eastAsia="zh-CN"/>
        </w:rPr>
        <w:tab/>
      </w:r>
      <w:r w:rsidR="006E6E90">
        <w:rPr>
          <w:rFonts w:ascii="Times New Roman" w:eastAsia="宋体" w:hAnsi="Times New Roman"/>
          <w:b/>
          <w:bCs/>
          <w:kern w:val="2"/>
          <w:sz w:val="24"/>
          <w:lang w:eastAsia="zh-CN"/>
        </w:rPr>
        <w:t>7</w:t>
      </w:r>
      <w:r>
        <w:rPr>
          <w:rFonts w:ascii="Times New Roman" w:eastAsia="宋体" w:hAnsi="Times New Roman"/>
          <w:b/>
          <w:bCs/>
          <w:kern w:val="2"/>
          <w:sz w:val="24"/>
          <w:lang w:eastAsia="zh-CN"/>
        </w:rPr>
        <w:t>.4.2.1</w:t>
      </w:r>
    </w:p>
    <w:p w14:paraId="09EEAE2E" w14:textId="77777777" w:rsidR="00183B47" w:rsidRPr="007022BC" w:rsidRDefault="00183B47" w:rsidP="00183B47">
      <w:pPr>
        <w:widowControl w:val="0"/>
        <w:tabs>
          <w:tab w:val="left" w:pos="1985"/>
        </w:tabs>
        <w:ind w:left="1985" w:hanging="1985"/>
        <w:jc w:val="both"/>
        <w:rPr>
          <w:rFonts w:ascii="Times New Roman" w:eastAsia="宋体" w:hAnsi="Times New Roman"/>
          <w:b/>
          <w:bCs/>
          <w:kern w:val="2"/>
          <w:sz w:val="24"/>
          <w:lang w:eastAsia="zh-CN"/>
        </w:rPr>
      </w:pPr>
      <w:r w:rsidRPr="007022BC">
        <w:rPr>
          <w:rFonts w:ascii="Times New Roman" w:eastAsia="宋体" w:hAnsi="Times New Roman"/>
          <w:b/>
          <w:bCs/>
          <w:kern w:val="2"/>
          <w:sz w:val="24"/>
          <w:lang w:eastAsia="zh-CN"/>
        </w:rPr>
        <w:t>Source:</w:t>
      </w:r>
      <w:r w:rsidRPr="007022BC">
        <w:rPr>
          <w:rFonts w:ascii="Times New Roman" w:eastAsia="宋体" w:hAnsi="Times New Roman"/>
          <w:b/>
          <w:bCs/>
          <w:kern w:val="2"/>
          <w:sz w:val="24"/>
          <w:lang w:eastAsia="zh-CN"/>
        </w:rPr>
        <w:tab/>
      </w:r>
      <w:r w:rsidRPr="007022BC">
        <w:rPr>
          <w:rFonts w:ascii="Times New Roman" w:eastAsia="宋体" w:hAnsi="Times New Roman"/>
          <w:b/>
          <w:bCs/>
          <w:kern w:val="2"/>
          <w:sz w:val="24"/>
          <w:lang w:eastAsia="zh-CN"/>
        </w:rPr>
        <w:tab/>
      </w:r>
      <w:bookmarkStart w:id="0" w:name="OLE_LINK13"/>
      <w:bookmarkStart w:id="1" w:name="OLE_LINK14"/>
      <w:r w:rsidRPr="007022BC">
        <w:rPr>
          <w:rFonts w:ascii="Times New Roman" w:eastAsia="宋体" w:hAnsi="Times New Roman"/>
          <w:b/>
          <w:bCs/>
          <w:kern w:val="2"/>
          <w:sz w:val="24"/>
          <w:lang w:eastAsia="zh-CN"/>
        </w:rPr>
        <w:t>Lenovo</w:t>
      </w:r>
      <w:bookmarkEnd w:id="0"/>
      <w:bookmarkEnd w:id="1"/>
    </w:p>
    <w:p w14:paraId="249CC6D9" w14:textId="6A4B8F44" w:rsidR="00183B47" w:rsidRPr="007022BC" w:rsidRDefault="00183B47" w:rsidP="00183B47">
      <w:pPr>
        <w:widowControl w:val="0"/>
        <w:tabs>
          <w:tab w:val="left" w:pos="1985"/>
        </w:tabs>
        <w:ind w:left="2103" w:hangingChars="873" w:hanging="2103"/>
        <w:jc w:val="both"/>
        <w:rPr>
          <w:rFonts w:ascii="Times New Roman" w:eastAsia="宋体" w:hAnsi="Times New Roman"/>
          <w:b/>
          <w:bCs/>
          <w:kern w:val="2"/>
          <w:sz w:val="24"/>
          <w:lang w:eastAsia="zh-CN"/>
        </w:rPr>
      </w:pPr>
      <w:r w:rsidRPr="007022BC">
        <w:rPr>
          <w:rFonts w:ascii="Times New Roman" w:eastAsia="宋体" w:hAnsi="Times New Roman"/>
          <w:b/>
          <w:bCs/>
          <w:kern w:val="2"/>
          <w:sz w:val="24"/>
          <w:lang w:eastAsia="zh-CN"/>
        </w:rPr>
        <w:t>Title:</w:t>
      </w:r>
      <w:r w:rsidRPr="007022BC">
        <w:rPr>
          <w:rFonts w:ascii="Times New Roman" w:eastAsia="宋体" w:hAnsi="Times New Roman"/>
          <w:b/>
          <w:bCs/>
          <w:kern w:val="2"/>
          <w:sz w:val="24"/>
          <w:lang w:eastAsia="zh-CN"/>
        </w:rPr>
        <w:tab/>
      </w:r>
      <w:r w:rsidRPr="007022BC">
        <w:rPr>
          <w:rFonts w:ascii="Times New Roman" w:eastAsia="宋体" w:hAnsi="Times New Roman"/>
          <w:b/>
          <w:bCs/>
          <w:kern w:val="2"/>
          <w:sz w:val="24"/>
          <w:lang w:eastAsia="zh-CN"/>
        </w:rPr>
        <w:tab/>
      </w:r>
      <w:r>
        <w:rPr>
          <w:rFonts w:ascii="Times New Roman" w:eastAsia="宋体" w:hAnsi="Times New Roman"/>
          <w:b/>
          <w:bCs/>
          <w:kern w:val="2"/>
          <w:sz w:val="24"/>
          <w:lang w:eastAsia="zh-CN"/>
        </w:rPr>
        <w:t xml:space="preserve"> </w:t>
      </w:r>
      <w:r w:rsidR="0080002C">
        <w:rPr>
          <w:rFonts w:ascii="Times New Roman" w:eastAsia="宋体" w:hAnsi="Times New Roman"/>
          <w:b/>
          <w:bCs/>
          <w:kern w:val="2"/>
          <w:sz w:val="24"/>
          <w:lang w:eastAsia="zh-CN"/>
        </w:rPr>
        <w:t>Initial</w:t>
      </w:r>
      <w:r w:rsidR="003E6040">
        <w:rPr>
          <w:rFonts w:ascii="Times New Roman" w:eastAsia="宋体" w:hAnsi="Times New Roman"/>
          <w:b/>
          <w:bCs/>
          <w:kern w:val="2"/>
          <w:sz w:val="24"/>
          <w:lang w:eastAsia="zh-CN"/>
        </w:rPr>
        <w:t xml:space="preserve"> </w:t>
      </w:r>
      <w:r w:rsidR="0090632D">
        <w:rPr>
          <w:rFonts w:ascii="Times New Roman" w:eastAsia="宋体" w:hAnsi="Times New Roman"/>
          <w:b/>
          <w:bCs/>
          <w:kern w:val="2"/>
          <w:sz w:val="24"/>
          <w:lang w:eastAsia="zh-CN"/>
        </w:rPr>
        <w:t>Early</w:t>
      </w:r>
      <w:r w:rsidR="0040771B">
        <w:rPr>
          <w:rFonts w:ascii="Times New Roman" w:eastAsia="宋体" w:hAnsi="Times New Roman"/>
          <w:b/>
          <w:bCs/>
          <w:kern w:val="2"/>
          <w:sz w:val="24"/>
          <w:lang w:eastAsia="zh-CN"/>
        </w:rPr>
        <w:t>-</w:t>
      </w:r>
      <w:r w:rsidR="0090632D">
        <w:rPr>
          <w:rFonts w:ascii="Times New Roman" w:eastAsia="宋体" w:hAnsi="Times New Roman"/>
          <w:b/>
          <w:bCs/>
          <w:kern w:val="2"/>
          <w:sz w:val="24"/>
          <w:lang w:eastAsia="zh-CN"/>
        </w:rPr>
        <w:t>TA acquisition</w:t>
      </w:r>
    </w:p>
    <w:p w14:paraId="2D8525C9" w14:textId="77777777" w:rsidR="00183B47" w:rsidRPr="007022BC" w:rsidRDefault="00183B47" w:rsidP="00183B47">
      <w:pPr>
        <w:widowControl w:val="0"/>
        <w:tabs>
          <w:tab w:val="left" w:pos="1985"/>
        </w:tabs>
        <w:jc w:val="both"/>
        <w:rPr>
          <w:rFonts w:ascii="Times New Roman" w:eastAsia="宋体" w:hAnsi="Times New Roman"/>
          <w:b/>
          <w:bCs/>
          <w:kern w:val="2"/>
          <w:sz w:val="24"/>
          <w:lang w:eastAsia="zh-CN"/>
        </w:rPr>
      </w:pPr>
      <w:r w:rsidRPr="007022BC">
        <w:rPr>
          <w:rFonts w:ascii="Times New Roman" w:eastAsia="宋体" w:hAnsi="Times New Roman"/>
          <w:b/>
          <w:bCs/>
          <w:kern w:val="2"/>
          <w:sz w:val="24"/>
          <w:lang w:eastAsia="zh-CN"/>
        </w:rPr>
        <w:t>Document for:</w:t>
      </w:r>
      <w:r w:rsidRPr="007022BC">
        <w:rPr>
          <w:rFonts w:ascii="Times New Roman" w:eastAsia="宋体" w:hAnsi="Times New Roman"/>
          <w:b/>
          <w:bCs/>
          <w:kern w:val="2"/>
          <w:sz w:val="24"/>
          <w:lang w:eastAsia="zh-CN"/>
        </w:rPr>
        <w:tab/>
      </w:r>
      <w:r w:rsidRPr="007022BC">
        <w:rPr>
          <w:rFonts w:ascii="Times New Roman" w:eastAsia="宋体" w:hAnsi="Times New Roman"/>
          <w:b/>
          <w:bCs/>
          <w:kern w:val="2"/>
          <w:sz w:val="24"/>
          <w:lang w:eastAsia="zh-CN"/>
        </w:rPr>
        <w:tab/>
        <w:t>Discussion and Decision</w:t>
      </w:r>
    </w:p>
    <w:p w14:paraId="68075746" w14:textId="77777777" w:rsidR="00183B47" w:rsidRPr="007022BC" w:rsidRDefault="00183B47" w:rsidP="00183B47">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eastAsia="宋体" w:hAnsi="Times New Roman"/>
          <w:b/>
          <w:sz w:val="32"/>
          <w:szCs w:val="32"/>
          <w:lang w:eastAsia="zh-CN"/>
        </w:rPr>
      </w:pPr>
      <w:r w:rsidRPr="007022BC">
        <w:rPr>
          <w:rFonts w:ascii="Times New Roman" w:eastAsia="宋体" w:hAnsi="Times New Roman"/>
          <w:b/>
          <w:sz w:val="32"/>
          <w:szCs w:val="32"/>
          <w:lang w:eastAsia="zh-CN"/>
        </w:rPr>
        <w:t>Introduction</w:t>
      </w:r>
    </w:p>
    <w:p w14:paraId="371908D4" w14:textId="16857B55" w:rsidR="00C87332" w:rsidRPr="0037741A" w:rsidRDefault="006F5B61">
      <w:pPr>
        <w:rPr>
          <w:rFonts w:ascii="Garamond" w:hAnsi="Garamond"/>
        </w:rPr>
      </w:pPr>
      <w:r w:rsidRPr="0037741A">
        <w:rPr>
          <w:rFonts w:ascii="Garamond" w:hAnsi="Garamond"/>
        </w:rPr>
        <w:t>In last meeting</w:t>
      </w:r>
      <w:r w:rsidR="004D4ABD">
        <w:rPr>
          <w:rFonts w:ascii="Garamond" w:hAnsi="Garamond"/>
        </w:rPr>
        <w:t xml:space="preserve"> (</w:t>
      </w:r>
      <w:r w:rsidR="004D4ABD" w:rsidRPr="004D4ABD">
        <w:rPr>
          <w:rFonts w:ascii="Garamond" w:hAnsi="Garamond"/>
        </w:rPr>
        <w:t>in RAN2#121bis</w:t>
      </w:r>
      <w:r w:rsidR="004D4ABD">
        <w:rPr>
          <w:rFonts w:ascii="Garamond" w:hAnsi="Garamond"/>
        </w:rPr>
        <w:t>)</w:t>
      </w:r>
      <w:r w:rsidRPr="0037741A">
        <w:rPr>
          <w:rFonts w:ascii="Garamond" w:hAnsi="Garamond"/>
        </w:rPr>
        <w:t xml:space="preserve">, RAN2 made some </w:t>
      </w:r>
      <w:r w:rsidR="003E6040">
        <w:rPr>
          <w:rFonts w:ascii="Garamond" w:hAnsi="Garamond"/>
        </w:rPr>
        <w:t xml:space="preserve">agreements </w:t>
      </w:r>
      <w:r w:rsidR="0080002C">
        <w:rPr>
          <w:rFonts w:ascii="Garamond" w:hAnsi="Garamond"/>
        </w:rPr>
        <w:t xml:space="preserve">for </w:t>
      </w:r>
      <w:r w:rsidR="003E6040">
        <w:rPr>
          <w:rFonts w:ascii="Garamond" w:hAnsi="Garamond"/>
        </w:rPr>
        <w:t>Early TA acquisition</w:t>
      </w:r>
      <w:r w:rsidR="004D4ABD">
        <w:rPr>
          <w:rFonts w:ascii="Garamond" w:hAnsi="Garamond"/>
        </w:rPr>
        <w:t>:</w:t>
      </w:r>
    </w:p>
    <w:p w14:paraId="6EE402FD" w14:textId="77777777" w:rsidR="00961E1D" w:rsidRDefault="00961E1D"/>
    <w:tbl>
      <w:tblPr>
        <w:tblStyle w:val="a3"/>
        <w:tblW w:w="0" w:type="auto"/>
        <w:tblLook w:val="04A0" w:firstRow="1" w:lastRow="0" w:firstColumn="1" w:lastColumn="0" w:noHBand="0" w:noVBand="1"/>
      </w:tblPr>
      <w:tblGrid>
        <w:gridCol w:w="9350"/>
      </w:tblGrid>
      <w:tr w:rsidR="002903AC" w:rsidRPr="003A5C3F" w14:paraId="35DD778C" w14:textId="77777777" w:rsidTr="002903AC">
        <w:tc>
          <w:tcPr>
            <w:tcW w:w="9350" w:type="dxa"/>
          </w:tcPr>
          <w:p w14:paraId="11AAE261" w14:textId="77777777" w:rsidR="004D4ABD" w:rsidRPr="004D4ABD" w:rsidRDefault="004D4ABD" w:rsidP="004D4ABD">
            <w:pPr>
              <w:pStyle w:val="Agreement"/>
              <w:rPr>
                <w:b w:val="0"/>
                <w:bCs/>
                <w:i/>
                <w:iCs/>
                <w:lang w:eastAsia="en-US"/>
              </w:rPr>
            </w:pPr>
            <w:r w:rsidRPr="004D4ABD">
              <w:rPr>
                <w:b w:val="0"/>
                <w:bCs/>
                <w:i/>
                <w:iCs/>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63BB6626" w14:textId="77777777" w:rsidR="004D4ABD" w:rsidRPr="004D4ABD" w:rsidRDefault="004D4ABD" w:rsidP="004D4ABD">
            <w:pPr>
              <w:pStyle w:val="Agreement"/>
              <w:rPr>
                <w:b w:val="0"/>
                <w:bCs/>
                <w:i/>
                <w:iCs/>
              </w:rPr>
            </w:pPr>
            <w:r w:rsidRPr="004D4ABD">
              <w:rPr>
                <w:b w:val="0"/>
                <w:bCs/>
                <w:i/>
                <w:iCs/>
              </w:rPr>
              <w:t>RRC RACH configuration for early TA acquisition (e.g., including whether RAR needs to be received) is specific per target cell and is signalled separately (separate IEs) from the candidate cell configuration (the part that need to be applied at cell switch).</w:t>
            </w:r>
          </w:p>
          <w:p w14:paraId="4549A8CC" w14:textId="69E03B3D" w:rsidR="002903AC" w:rsidRPr="004D4ABD" w:rsidRDefault="004D4ABD" w:rsidP="004D4ABD">
            <w:pPr>
              <w:pStyle w:val="Agreement"/>
            </w:pPr>
            <w:r w:rsidRPr="004D4ABD">
              <w:rPr>
                <w:b w:val="0"/>
                <w:bCs/>
                <w:i/>
                <w:iCs/>
              </w:rPr>
              <w:t>R2 assumes that Early TA RACH option 3 (with RAR from candidate cell) is not needed in Rel-18.</w:t>
            </w:r>
          </w:p>
        </w:tc>
      </w:tr>
    </w:tbl>
    <w:p w14:paraId="61C1B561" w14:textId="77777777" w:rsidR="004D4ABD" w:rsidRDefault="004D4ABD" w:rsidP="004D4ABD">
      <w:pPr>
        <w:rPr>
          <w:rFonts w:ascii="Garamond" w:hAnsi="Garamond"/>
        </w:rPr>
      </w:pPr>
    </w:p>
    <w:p w14:paraId="06219250" w14:textId="5F583815" w:rsidR="00AA1235" w:rsidRPr="0037741A" w:rsidRDefault="004D4ABD" w:rsidP="00591F32">
      <w:pPr>
        <w:rPr>
          <w:rFonts w:ascii="Garamond" w:hAnsi="Garamond"/>
        </w:rPr>
      </w:pPr>
      <w:r>
        <w:rPr>
          <w:rFonts w:ascii="Garamond" w:hAnsi="Garamond"/>
        </w:rPr>
        <w:t>These rely mainly on the RAN1 mechanism of using PDCCH Order to implement Early TA acquisition, which is useful as it allows network control in deciding on when and for which cell(s) the Early TA would be acquired by a UE. But proponent think that this still does not allow for early enough TA acquisition!</w:t>
      </w:r>
    </w:p>
    <w:p w14:paraId="0AC54CF8" w14:textId="79D72DF4" w:rsidR="0073766F" w:rsidRDefault="0073766F" w:rsidP="00591F32"/>
    <w:p w14:paraId="711B90D1" w14:textId="77777777" w:rsidR="0040225E" w:rsidRPr="007022BC" w:rsidRDefault="0040225E" w:rsidP="0040225E">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ind w:left="357" w:hanging="357"/>
        <w:jc w:val="both"/>
        <w:textAlignment w:val="baseline"/>
        <w:outlineLvl w:val="0"/>
        <w:rPr>
          <w:rFonts w:ascii="Times New Roman" w:eastAsia="宋体" w:hAnsi="Times New Roman"/>
          <w:b/>
          <w:sz w:val="32"/>
          <w:szCs w:val="32"/>
          <w:lang w:eastAsia="zh-CN"/>
        </w:rPr>
      </w:pPr>
      <w:r w:rsidRPr="007022BC">
        <w:rPr>
          <w:rFonts w:ascii="Times New Roman" w:eastAsia="宋体" w:hAnsi="Times New Roman"/>
          <w:b/>
          <w:sz w:val="32"/>
          <w:szCs w:val="32"/>
          <w:lang w:eastAsia="zh-CN"/>
        </w:rPr>
        <w:t>Discussion</w:t>
      </w:r>
    </w:p>
    <w:p w14:paraId="4F0AEC64" w14:textId="77777777" w:rsidR="0040225E" w:rsidRDefault="0040225E" w:rsidP="00591F32"/>
    <w:p w14:paraId="2313D944" w14:textId="73C59A73" w:rsidR="00F3103B" w:rsidRPr="0080002C" w:rsidRDefault="00F3103B" w:rsidP="00591F32">
      <w:pPr>
        <w:rPr>
          <w:rFonts w:ascii="Garamond" w:hAnsi="Garamond"/>
        </w:rPr>
      </w:pPr>
      <w:r w:rsidRPr="0080002C">
        <w:rPr>
          <w:rFonts w:ascii="Garamond" w:hAnsi="Garamond"/>
        </w:rPr>
        <w:t xml:space="preserve">During study phase RAN2 has been concerned that the </w:t>
      </w:r>
      <w:r w:rsidR="007319D4">
        <w:rPr>
          <w:rFonts w:ascii="Garamond" w:hAnsi="Garamond"/>
        </w:rPr>
        <w:t xml:space="preserve">UL synchronization </w:t>
      </w:r>
      <w:r w:rsidRPr="0080002C">
        <w:rPr>
          <w:rFonts w:ascii="Garamond" w:hAnsi="Garamond"/>
        </w:rPr>
        <w:t xml:space="preserve">can take about </w:t>
      </w:r>
      <w:r w:rsidR="007319D4">
        <w:rPr>
          <w:rFonts w:ascii="Garamond" w:hAnsi="Garamond"/>
        </w:rPr>
        <w:t>19</w:t>
      </w:r>
      <w:r w:rsidRPr="0080002C">
        <w:rPr>
          <w:rFonts w:ascii="Garamond" w:hAnsi="Garamond"/>
        </w:rPr>
        <w:t xml:space="preserve"> ms., as captured in the RAN2 time</w:t>
      </w:r>
      <w:r w:rsidR="006819A0" w:rsidRPr="0080002C">
        <w:rPr>
          <w:rFonts w:ascii="Garamond" w:hAnsi="Garamond"/>
        </w:rPr>
        <w:t xml:space="preserve"> </w:t>
      </w:r>
      <w:r w:rsidRPr="0080002C">
        <w:rPr>
          <w:rFonts w:ascii="Garamond" w:hAnsi="Garamond"/>
        </w:rPr>
        <w:t>chart</w:t>
      </w:r>
      <w:r w:rsidR="008916B9">
        <w:rPr>
          <w:rFonts w:ascii="Garamond" w:hAnsi="Garamond"/>
        </w:rPr>
        <w:t>,</w:t>
      </w:r>
      <w:r w:rsidR="0080002C" w:rsidRPr="0080002C">
        <w:rPr>
          <w:rFonts w:ascii="Garamond" w:hAnsi="Garamond"/>
        </w:rPr>
        <w:t xml:space="preserve"> as in the </w:t>
      </w:r>
      <w:r w:rsidR="0080002C" w:rsidRPr="0080002C">
        <w:rPr>
          <w:rFonts w:ascii="Garamond" w:hAnsi="Garamond"/>
        </w:rPr>
        <w:fldChar w:fldCharType="begin"/>
      </w:r>
      <w:r w:rsidR="0080002C" w:rsidRPr="0080002C">
        <w:rPr>
          <w:rFonts w:ascii="Garamond" w:hAnsi="Garamond"/>
        </w:rPr>
        <w:instrText xml:space="preserve"> REF _Ref134636386 \h  \* MERGEFORMAT </w:instrText>
      </w:r>
      <w:r w:rsidR="0080002C" w:rsidRPr="0080002C">
        <w:rPr>
          <w:rFonts w:ascii="Garamond" w:hAnsi="Garamond"/>
        </w:rPr>
      </w:r>
      <w:r w:rsidR="0080002C" w:rsidRPr="0080002C">
        <w:rPr>
          <w:rFonts w:ascii="Garamond" w:hAnsi="Garamond"/>
        </w:rPr>
        <w:fldChar w:fldCharType="separate"/>
      </w:r>
      <w:r w:rsidR="0080002C" w:rsidRPr="0080002C">
        <w:rPr>
          <w:rFonts w:ascii="Garamond" w:hAnsi="Garamond"/>
        </w:rPr>
        <w:t xml:space="preserve">Figure </w:t>
      </w:r>
      <w:r w:rsidR="0080002C" w:rsidRPr="0080002C">
        <w:rPr>
          <w:rFonts w:ascii="Garamond" w:hAnsi="Garamond"/>
          <w:noProof/>
        </w:rPr>
        <w:t>1</w:t>
      </w:r>
      <w:r w:rsidR="0080002C" w:rsidRPr="0080002C">
        <w:rPr>
          <w:rFonts w:ascii="Garamond" w:hAnsi="Garamond"/>
        </w:rPr>
        <w:fldChar w:fldCharType="end"/>
      </w:r>
      <w:r w:rsidRPr="0080002C">
        <w:rPr>
          <w:rFonts w:ascii="Garamond" w:hAnsi="Garamond"/>
        </w:rPr>
        <w:t>:</w:t>
      </w:r>
    </w:p>
    <w:p w14:paraId="68A34218" w14:textId="5A2B8CED" w:rsidR="00F3103B" w:rsidRDefault="00F3103B" w:rsidP="00591F32">
      <w:pPr>
        <w:rPr>
          <w:rFonts w:ascii="Garamond" w:hAnsi="Garamond"/>
        </w:rPr>
      </w:pPr>
    </w:p>
    <w:p w14:paraId="0D6357F6" w14:textId="77777777" w:rsidR="00F3103B" w:rsidRDefault="00F3103B" w:rsidP="00F3103B">
      <w:pPr>
        <w:keepNext/>
      </w:pPr>
      <w:r>
        <w:rPr>
          <w:rFonts w:ascii="Garamond" w:hAnsi="Garamond"/>
          <w:noProof/>
        </w:rPr>
        <w:drawing>
          <wp:inline distT="0" distB="0" distL="0" distR="0" wp14:anchorId="622E8329" wp14:editId="24851A5A">
            <wp:extent cx="6499486" cy="207334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8890" cy="2092299"/>
                    </a:xfrm>
                    <a:prstGeom prst="rect">
                      <a:avLst/>
                    </a:prstGeom>
                    <a:noFill/>
                  </pic:spPr>
                </pic:pic>
              </a:graphicData>
            </a:graphic>
          </wp:inline>
        </w:drawing>
      </w:r>
    </w:p>
    <w:p w14:paraId="53CA43C0" w14:textId="7619B844" w:rsidR="00F3103B" w:rsidRPr="00F3103B" w:rsidRDefault="00F3103B" w:rsidP="00F3103B">
      <w:pPr>
        <w:pStyle w:val="a6"/>
        <w:jc w:val="center"/>
        <w:rPr>
          <w:rFonts w:ascii="Garamond" w:hAnsi="Garamond"/>
          <w:i w:val="0"/>
          <w:iCs w:val="0"/>
        </w:rPr>
      </w:pPr>
      <w:bookmarkStart w:id="2" w:name="_Ref134636386"/>
      <w:r w:rsidRPr="00F3103B">
        <w:rPr>
          <w:i w:val="0"/>
          <w:iCs w:val="0"/>
        </w:rPr>
        <w:t xml:space="preserve">Figure </w:t>
      </w:r>
      <w:r w:rsidRPr="00F3103B">
        <w:rPr>
          <w:i w:val="0"/>
          <w:iCs w:val="0"/>
        </w:rPr>
        <w:fldChar w:fldCharType="begin"/>
      </w:r>
      <w:r w:rsidRPr="00F3103B">
        <w:rPr>
          <w:i w:val="0"/>
          <w:iCs w:val="0"/>
        </w:rPr>
        <w:instrText xml:space="preserve"> SEQ Figure \* ARABIC </w:instrText>
      </w:r>
      <w:r w:rsidRPr="00F3103B">
        <w:rPr>
          <w:i w:val="0"/>
          <w:iCs w:val="0"/>
        </w:rPr>
        <w:fldChar w:fldCharType="separate"/>
      </w:r>
      <w:r w:rsidR="004F1048">
        <w:rPr>
          <w:i w:val="0"/>
          <w:iCs w:val="0"/>
          <w:noProof/>
        </w:rPr>
        <w:t>1</w:t>
      </w:r>
      <w:r w:rsidRPr="00F3103B">
        <w:rPr>
          <w:i w:val="0"/>
          <w:iCs w:val="0"/>
        </w:rPr>
        <w:fldChar w:fldCharType="end"/>
      </w:r>
      <w:bookmarkEnd w:id="2"/>
      <w:r w:rsidRPr="00F3103B">
        <w:rPr>
          <w:i w:val="0"/>
          <w:iCs w:val="0"/>
        </w:rPr>
        <w:t>: L1 L2 Mobility Time Chart</w:t>
      </w:r>
    </w:p>
    <w:p w14:paraId="743FE643" w14:textId="77777777" w:rsidR="00F3103B" w:rsidRDefault="00F3103B" w:rsidP="00591F32">
      <w:pPr>
        <w:rPr>
          <w:rFonts w:ascii="Garamond" w:hAnsi="Garamond"/>
        </w:rPr>
      </w:pPr>
    </w:p>
    <w:p w14:paraId="522C673F" w14:textId="64564E2F" w:rsidR="00243F03" w:rsidRPr="0037741A" w:rsidRDefault="00591F32" w:rsidP="002903AC">
      <w:pPr>
        <w:rPr>
          <w:rFonts w:ascii="Garamond" w:hAnsi="Garamond"/>
          <w:b/>
          <w:bCs/>
        </w:rPr>
      </w:pPr>
      <w:r w:rsidRPr="0037741A">
        <w:rPr>
          <w:rFonts w:ascii="Garamond" w:hAnsi="Garamond"/>
        </w:rPr>
        <w:fldChar w:fldCharType="begin"/>
      </w:r>
      <w:r w:rsidRPr="0037741A">
        <w:rPr>
          <w:rFonts w:ascii="Garamond" w:hAnsi="Garamond"/>
        </w:rPr>
        <w:instrText xml:space="preserve"> REF _Ref126924725 \h  \* MERGEFORMAT </w:instrText>
      </w:r>
      <w:r w:rsidRPr="0037741A">
        <w:rPr>
          <w:rFonts w:ascii="Garamond" w:hAnsi="Garamond"/>
        </w:rPr>
      </w:r>
      <w:r w:rsidRPr="0037741A">
        <w:rPr>
          <w:rFonts w:ascii="Garamond" w:hAnsi="Garamond"/>
        </w:rPr>
        <w:fldChar w:fldCharType="separate"/>
      </w:r>
      <w:r w:rsidR="004F1048" w:rsidRPr="0037741A">
        <w:rPr>
          <w:rFonts w:ascii="Garamond" w:hAnsi="Garamond"/>
        </w:rPr>
        <w:t xml:space="preserve">Figure </w:t>
      </w:r>
      <w:r w:rsidR="004F1048">
        <w:rPr>
          <w:rFonts w:ascii="Garamond" w:hAnsi="Garamond"/>
          <w:noProof/>
        </w:rPr>
        <w:t>2</w:t>
      </w:r>
      <w:r w:rsidRPr="0037741A">
        <w:rPr>
          <w:rFonts w:ascii="Garamond" w:hAnsi="Garamond"/>
        </w:rPr>
        <w:fldChar w:fldCharType="end"/>
      </w:r>
      <w:r w:rsidRPr="0037741A">
        <w:rPr>
          <w:rFonts w:ascii="Garamond" w:hAnsi="Garamond"/>
        </w:rPr>
        <w:t xml:space="preserve"> shows a message sequence of how lower layer mobility could work based on </w:t>
      </w:r>
      <w:r w:rsidR="006E331A">
        <w:rPr>
          <w:rFonts w:ascii="Garamond" w:hAnsi="Garamond"/>
        </w:rPr>
        <w:t>PDCCH Order based Early TA acquisition</w:t>
      </w:r>
      <w:r w:rsidRPr="0037741A">
        <w:rPr>
          <w:rFonts w:ascii="Garamond" w:hAnsi="Garamond"/>
        </w:rPr>
        <w:t xml:space="preserve">. </w:t>
      </w:r>
    </w:p>
    <w:p w14:paraId="721E0185" w14:textId="181A9ECA" w:rsidR="000D79C5" w:rsidRPr="0037741A" w:rsidRDefault="00AB7CF0" w:rsidP="000D79C5">
      <w:pPr>
        <w:keepNext/>
        <w:jc w:val="center"/>
        <w:rPr>
          <w:rFonts w:ascii="Garamond" w:hAnsi="Garamond"/>
        </w:rPr>
      </w:pPr>
      <w:r w:rsidRPr="0037741A">
        <w:rPr>
          <w:rFonts w:ascii="Garamond" w:hAnsi="Garamond"/>
        </w:rPr>
        <w:object w:dxaOrig="11010" w:dyaOrig="8281" w14:anchorId="79B2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316.25pt" o:ole="">
            <v:imagedata r:id="rId9" o:title=""/>
          </v:shape>
          <o:OLEObject Type="Embed" ProgID="Visio.Drawing.15" ShapeID="_x0000_i1025" DrawAspect="Content" ObjectID="_1753171813" r:id="rId10"/>
        </w:object>
      </w:r>
    </w:p>
    <w:p w14:paraId="68088806" w14:textId="65605AE8" w:rsidR="00243F03" w:rsidRPr="0037741A" w:rsidRDefault="000D79C5" w:rsidP="000D79C5">
      <w:pPr>
        <w:pStyle w:val="a6"/>
        <w:jc w:val="center"/>
        <w:rPr>
          <w:rFonts w:ascii="Garamond" w:hAnsi="Garamond"/>
        </w:rPr>
      </w:pPr>
      <w:bookmarkStart w:id="3" w:name="_Ref126924725"/>
      <w:r w:rsidRPr="0037741A">
        <w:rPr>
          <w:rFonts w:ascii="Garamond" w:hAnsi="Garamond"/>
        </w:rPr>
        <w:t xml:space="preserve">Figure </w:t>
      </w:r>
      <w:r w:rsidRPr="0037741A">
        <w:rPr>
          <w:rFonts w:ascii="Garamond" w:hAnsi="Garamond"/>
        </w:rPr>
        <w:fldChar w:fldCharType="begin"/>
      </w:r>
      <w:r w:rsidRPr="0037741A">
        <w:rPr>
          <w:rFonts w:ascii="Garamond" w:hAnsi="Garamond"/>
        </w:rPr>
        <w:instrText xml:space="preserve"> SEQ Figure \* ARABIC </w:instrText>
      </w:r>
      <w:r w:rsidRPr="0037741A">
        <w:rPr>
          <w:rFonts w:ascii="Garamond" w:hAnsi="Garamond"/>
        </w:rPr>
        <w:fldChar w:fldCharType="separate"/>
      </w:r>
      <w:r w:rsidR="004F1048">
        <w:rPr>
          <w:rFonts w:ascii="Garamond" w:hAnsi="Garamond"/>
          <w:noProof/>
        </w:rPr>
        <w:t>2</w:t>
      </w:r>
      <w:r w:rsidRPr="0037741A">
        <w:rPr>
          <w:rFonts w:ascii="Garamond" w:hAnsi="Garamond"/>
        </w:rPr>
        <w:fldChar w:fldCharType="end"/>
      </w:r>
      <w:bookmarkEnd w:id="3"/>
      <w:r w:rsidRPr="0037741A">
        <w:rPr>
          <w:rFonts w:ascii="Garamond" w:hAnsi="Garamond"/>
        </w:rPr>
        <w:t xml:space="preserve">: </w:t>
      </w:r>
      <w:r w:rsidR="00EA1F92" w:rsidRPr="0037741A">
        <w:rPr>
          <w:rFonts w:ascii="Garamond" w:hAnsi="Garamond"/>
        </w:rPr>
        <w:t>A</w:t>
      </w:r>
      <w:r w:rsidRPr="0037741A">
        <w:rPr>
          <w:rFonts w:ascii="Garamond" w:hAnsi="Garamond"/>
        </w:rPr>
        <w:t>pproach</w:t>
      </w:r>
      <w:r w:rsidR="00EA1F92" w:rsidRPr="0037741A">
        <w:rPr>
          <w:rFonts w:ascii="Garamond" w:hAnsi="Garamond"/>
        </w:rPr>
        <w:t>-A based on RAN1 agreements made so far</w:t>
      </w:r>
    </w:p>
    <w:p w14:paraId="5F84F50D" w14:textId="6C7EE29B" w:rsidR="00523F73" w:rsidRDefault="00523F73" w:rsidP="000D79C5">
      <w:pPr>
        <w:rPr>
          <w:rFonts w:ascii="Garamond" w:hAnsi="Garamond"/>
        </w:rPr>
      </w:pPr>
    </w:p>
    <w:p w14:paraId="3037D228" w14:textId="4EE30417" w:rsidR="008274EF" w:rsidRPr="00DB2C84" w:rsidRDefault="004F1048" w:rsidP="000D79C5">
      <w:pPr>
        <w:rPr>
          <w:rFonts w:ascii="Garamond" w:hAnsi="Garamond"/>
          <w:lang w:val="en-US"/>
        </w:rPr>
      </w:pPr>
      <w:r>
        <w:rPr>
          <w:rFonts w:ascii="Garamond" w:hAnsi="Garamond"/>
        </w:rPr>
        <w:t>If using on</w:t>
      </w:r>
      <w:r w:rsidR="00DB2C84">
        <w:rPr>
          <w:rFonts w:ascii="Garamond" w:hAnsi="Garamond"/>
        </w:rPr>
        <w:t>ly</w:t>
      </w:r>
      <w:r>
        <w:rPr>
          <w:rFonts w:ascii="Garamond" w:hAnsi="Garamond"/>
        </w:rPr>
        <w:t xml:space="preserve"> the PDCCH order to acquire Early TA, </w:t>
      </w:r>
      <w:r w:rsidRPr="006819A0">
        <w:rPr>
          <w:rFonts w:ascii="Garamond" w:hAnsi="Garamond"/>
        </w:rPr>
        <w:t xml:space="preserve">it will take some finite time (say </w:t>
      </w:r>
      <w:r>
        <w:rPr>
          <w:rFonts w:ascii="Garamond" w:hAnsi="Garamond"/>
        </w:rPr>
        <w:t>‘</w:t>
      </w:r>
      <w:r w:rsidRPr="006819A0">
        <w:rPr>
          <w:rFonts w:ascii="Garamond" w:hAnsi="Garamond"/>
        </w:rPr>
        <w:t>T</w:t>
      </w:r>
      <w:r>
        <w:rPr>
          <w:rFonts w:ascii="Garamond" w:hAnsi="Garamond"/>
        </w:rPr>
        <w:t>’</w:t>
      </w:r>
      <w:r w:rsidRPr="006819A0">
        <w:rPr>
          <w:rFonts w:ascii="Garamond" w:hAnsi="Garamond"/>
        </w:rPr>
        <w:t xml:space="preserve"> ms</w:t>
      </w:r>
      <w:r>
        <w:rPr>
          <w:rFonts w:ascii="Garamond" w:hAnsi="Garamond"/>
        </w:rPr>
        <w:t xml:space="preserve"> i.e., the time between step 3 and 5 of </w:t>
      </w:r>
      <w:r>
        <w:rPr>
          <w:rFonts w:ascii="Garamond" w:hAnsi="Garamond"/>
        </w:rPr>
        <w:fldChar w:fldCharType="begin"/>
      </w:r>
      <w:r>
        <w:rPr>
          <w:rFonts w:ascii="Garamond" w:hAnsi="Garamond"/>
        </w:rPr>
        <w:instrText xml:space="preserve"> REF _Ref126924725 \h </w:instrText>
      </w:r>
      <w:r>
        <w:rPr>
          <w:rFonts w:ascii="Garamond" w:hAnsi="Garamond"/>
        </w:rPr>
      </w:r>
      <w:r>
        <w:rPr>
          <w:rFonts w:ascii="Garamond" w:hAnsi="Garamond"/>
        </w:rPr>
        <w:fldChar w:fldCharType="separate"/>
      </w:r>
      <w:r w:rsidRPr="0037741A">
        <w:rPr>
          <w:rFonts w:ascii="Garamond" w:hAnsi="Garamond"/>
        </w:rPr>
        <w:t xml:space="preserve">Figure </w:t>
      </w:r>
      <w:r>
        <w:rPr>
          <w:rFonts w:ascii="Garamond" w:hAnsi="Garamond"/>
          <w:noProof/>
        </w:rPr>
        <w:t>2</w:t>
      </w:r>
      <w:r>
        <w:rPr>
          <w:rFonts w:ascii="Garamond" w:hAnsi="Garamond"/>
        </w:rPr>
        <w:fldChar w:fldCharType="end"/>
      </w:r>
      <w:r w:rsidRPr="006819A0">
        <w:rPr>
          <w:rFonts w:ascii="Garamond" w:hAnsi="Garamond"/>
        </w:rPr>
        <w:t xml:space="preserve">) for the network to conclude on for which cell(s) to send the PDCCH Order – this could take a while especially if the network needs to see some kind of measurement reporting (CSI </w:t>
      </w:r>
      <w:r>
        <w:rPr>
          <w:rFonts w:ascii="Garamond" w:hAnsi="Garamond"/>
        </w:rPr>
        <w:t xml:space="preserve">like in step 4 of </w:t>
      </w:r>
      <w:r>
        <w:rPr>
          <w:rFonts w:ascii="Garamond" w:hAnsi="Garamond"/>
        </w:rPr>
        <w:fldChar w:fldCharType="begin"/>
      </w:r>
      <w:r>
        <w:rPr>
          <w:rFonts w:ascii="Garamond" w:hAnsi="Garamond"/>
        </w:rPr>
        <w:instrText xml:space="preserve"> REF _Ref126924725 \h </w:instrText>
      </w:r>
      <w:r>
        <w:rPr>
          <w:rFonts w:ascii="Garamond" w:hAnsi="Garamond"/>
        </w:rPr>
      </w:r>
      <w:r>
        <w:rPr>
          <w:rFonts w:ascii="Garamond" w:hAnsi="Garamond"/>
        </w:rPr>
        <w:fldChar w:fldCharType="separate"/>
      </w:r>
      <w:r w:rsidRPr="0037741A">
        <w:rPr>
          <w:rFonts w:ascii="Garamond" w:hAnsi="Garamond"/>
        </w:rPr>
        <w:t xml:space="preserve">Figure </w:t>
      </w:r>
      <w:r>
        <w:rPr>
          <w:rFonts w:ascii="Garamond" w:hAnsi="Garamond"/>
          <w:noProof/>
        </w:rPr>
        <w:t>2</w:t>
      </w:r>
      <w:r>
        <w:rPr>
          <w:rFonts w:ascii="Garamond" w:hAnsi="Garamond"/>
        </w:rPr>
        <w:fldChar w:fldCharType="end"/>
      </w:r>
      <w:r>
        <w:rPr>
          <w:rFonts w:ascii="Garamond" w:hAnsi="Garamond"/>
        </w:rPr>
        <w:t xml:space="preserve">, </w:t>
      </w:r>
      <w:r w:rsidRPr="006819A0">
        <w:rPr>
          <w:rFonts w:ascii="Garamond" w:hAnsi="Garamond"/>
        </w:rPr>
        <w:t>or L3</w:t>
      </w:r>
      <w:r>
        <w:rPr>
          <w:rFonts w:ascii="Garamond" w:hAnsi="Garamond"/>
        </w:rPr>
        <w:t xml:space="preserve"> measurement reporting</w:t>
      </w:r>
      <w:r w:rsidRPr="006819A0">
        <w:rPr>
          <w:rFonts w:ascii="Garamond" w:hAnsi="Garamond"/>
        </w:rPr>
        <w:t xml:space="preserve">) from the UE. So, </w:t>
      </w:r>
      <w:r w:rsidRPr="00731F99">
        <w:rPr>
          <w:rFonts w:ascii="Garamond" w:hAnsi="Garamond"/>
        </w:rPr>
        <w:t xml:space="preserve">RRC based Early TA Acquisition </w:t>
      </w:r>
      <w:r w:rsidRPr="006819A0">
        <w:rPr>
          <w:rFonts w:ascii="Garamond" w:hAnsi="Garamond"/>
        </w:rPr>
        <w:t>can be used in this T ms., where the UE will start acquiring Early TA for some candidate cell</w:t>
      </w:r>
      <w:r>
        <w:rPr>
          <w:rFonts w:ascii="Garamond" w:hAnsi="Garamond"/>
        </w:rPr>
        <w:t>. This allows the said 20 ms. to be preponed and t</w:t>
      </w:r>
      <w:r w:rsidRPr="006819A0">
        <w:rPr>
          <w:rFonts w:ascii="Garamond" w:hAnsi="Garamond"/>
        </w:rPr>
        <w:t xml:space="preserve">his makes the latency </w:t>
      </w:r>
      <w:r>
        <w:rPr>
          <w:rFonts w:ascii="Garamond" w:hAnsi="Garamond"/>
        </w:rPr>
        <w:t xml:space="preserve">especially </w:t>
      </w:r>
      <w:r w:rsidRPr="006819A0">
        <w:rPr>
          <w:rFonts w:ascii="Garamond" w:hAnsi="Garamond"/>
        </w:rPr>
        <w:t>shorter if one of these cells can be used for HO execution</w:t>
      </w:r>
      <w:r>
        <w:rPr>
          <w:rFonts w:ascii="Garamond" w:hAnsi="Garamond"/>
        </w:rPr>
        <w:t xml:space="preserve">, as show in </w:t>
      </w:r>
      <w:r>
        <w:rPr>
          <w:rFonts w:ascii="Garamond" w:hAnsi="Garamond"/>
        </w:rPr>
        <w:fldChar w:fldCharType="begin"/>
      </w:r>
      <w:r>
        <w:rPr>
          <w:rFonts w:ascii="Garamond" w:hAnsi="Garamond"/>
        </w:rPr>
        <w:instrText xml:space="preserve"> REF _Ref126927044 \h </w:instrText>
      </w:r>
      <w:r>
        <w:rPr>
          <w:rFonts w:ascii="Garamond" w:hAnsi="Garamond"/>
        </w:rPr>
      </w:r>
      <w:r>
        <w:rPr>
          <w:rFonts w:ascii="Garamond" w:hAnsi="Garamond"/>
        </w:rPr>
        <w:fldChar w:fldCharType="separate"/>
      </w:r>
      <w:r w:rsidRPr="0037741A">
        <w:rPr>
          <w:rFonts w:ascii="Garamond" w:hAnsi="Garamond"/>
        </w:rPr>
        <w:t xml:space="preserve">Figure </w:t>
      </w:r>
      <w:r>
        <w:rPr>
          <w:rFonts w:ascii="Garamond" w:hAnsi="Garamond"/>
          <w:noProof/>
        </w:rPr>
        <w:t>3</w:t>
      </w:r>
      <w:r>
        <w:rPr>
          <w:rFonts w:ascii="Garamond" w:hAnsi="Garamond"/>
        </w:rPr>
        <w:fldChar w:fldCharType="end"/>
      </w:r>
      <w:r w:rsidRPr="006819A0">
        <w:rPr>
          <w:rFonts w:ascii="Garamond" w:hAnsi="Garamond"/>
        </w:rPr>
        <w:t>.</w:t>
      </w:r>
    </w:p>
    <w:p w14:paraId="452BDDD6" w14:textId="3EEA29F1" w:rsidR="00CE4EF1" w:rsidRPr="0037741A" w:rsidRDefault="00CE4EF1" w:rsidP="000D79C5">
      <w:pPr>
        <w:rPr>
          <w:rFonts w:ascii="Garamond" w:hAnsi="Garamond"/>
        </w:rPr>
      </w:pPr>
    </w:p>
    <w:p w14:paraId="6DEC38DF" w14:textId="760309D1" w:rsidR="00DE2B89" w:rsidRPr="0037741A" w:rsidRDefault="0056049D" w:rsidP="00DE2B89">
      <w:pPr>
        <w:keepNext/>
        <w:jc w:val="center"/>
        <w:rPr>
          <w:rFonts w:ascii="Garamond" w:hAnsi="Garamond"/>
        </w:rPr>
      </w:pPr>
      <w:r w:rsidRPr="0037741A">
        <w:rPr>
          <w:rFonts w:ascii="Garamond" w:hAnsi="Garamond"/>
        </w:rPr>
        <w:object w:dxaOrig="13381" w:dyaOrig="9857" w14:anchorId="44CC2089">
          <v:shape id="_x0000_i1026" type="#_x0000_t75" style="width:467.55pt;height:347.25pt" o:ole="">
            <v:imagedata r:id="rId11" o:title=""/>
          </v:shape>
          <o:OLEObject Type="Embed" ProgID="Visio.Drawing.15" ShapeID="_x0000_i1026" DrawAspect="Content" ObjectID="_1753171814" r:id="rId12"/>
        </w:object>
      </w:r>
    </w:p>
    <w:p w14:paraId="4B6C1E93" w14:textId="0E5FC0C5" w:rsidR="00D57B25" w:rsidRPr="0037741A" w:rsidRDefault="00DE2B89" w:rsidP="00DE2B89">
      <w:pPr>
        <w:pStyle w:val="a6"/>
        <w:jc w:val="center"/>
        <w:rPr>
          <w:rFonts w:ascii="Garamond" w:hAnsi="Garamond"/>
        </w:rPr>
      </w:pPr>
      <w:bookmarkStart w:id="4" w:name="_Ref126927044"/>
      <w:r w:rsidRPr="0037741A">
        <w:rPr>
          <w:rFonts w:ascii="Garamond" w:hAnsi="Garamond"/>
        </w:rPr>
        <w:t xml:space="preserve">Figure </w:t>
      </w:r>
      <w:r w:rsidRPr="0037741A">
        <w:rPr>
          <w:rFonts w:ascii="Garamond" w:hAnsi="Garamond"/>
        </w:rPr>
        <w:fldChar w:fldCharType="begin"/>
      </w:r>
      <w:r w:rsidRPr="0037741A">
        <w:rPr>
          <w:rFonts w:ascii="Garamond" w:hAnsi="Garamond"/>
        </w:rPr>
        <w:instrText xml:space="preserve"> SEQ Figure \* ARABIC </w:instrText>
      </w:r>
      <w:r w:rsidRPr="0037741A">
        <w:rPr>
          <w:rFonts w:ascii="Garamond" w:hAnsi="Garamond"/>
        </w:rPr>
        <w:fldChar w:fldCharType="separate"/>
      </w:r>
      <w:r w:rsidR="004F1048">
        <w:rPr>
          <w:rFonts w:ascii="Garamond" w:hAnsi="Garamond"/>
          <w:noProof/>
        </w:rPr>
        <w:t>3</w:t>
      </w:r>
      <w:r w:rsidRPr="0037741A">
        <w:rPr>
          <w:rFonts w:ascii="Garamond" w:hAnsi="Garamond"/>
        </w:rPr>
        <w:fldChar w:fldCharType="end"/>
      </w:r>
      <w:bookmarkEnd w:id="4"/>
      <w:r w:rsidRPr="0037741A">
        <w:rPr>
          <w:rFonts w:ascii="Garamond" w:hAnsi="Garamond"/>
        </w:rPr>
        <w:t>: Approach-B, Early TA Procedure started by the RRC Reconfiguration Message</w:t>
      </w:r>
    </w:p>
    <w:p w14:paraId="5132A06B" w14:textId="77777777" w:rsidR="00A322B6" w:rsidRPr="0037741A" w:rsidRDefault="00A322B6" w:rsidP="00743846">
      <w:pPr>
        <w:pStyle w:val="Proposal"/>
        <w:rPr>
          <w:rFonts w:ascii="Garamond" w:hAnsi="Garamond"/>
          <w:b w:val="0"/>
          <w:bCs w:val="0"/>
        </w:rPr>
      </w:pPr>
    </w:p>
    <w:p w14:paraId="60325E94" w14:textId="5A89F7DF" w:rsidR="00DB2C84" w:rsidRDefault="00DB2C84" w:rsidP="004D4259">
      <w:pPr>
        <w:pStyle w:val="Proposal"/>
        <w:tabs>
          <w:tab w:val="clear" w:pos="1304"/>
        </w:tabs>
        <w:ind w:left="0" w:firstLine="0"/>
        <w:rPr>
          <w:rFonts w:ascii="Garamond" w:hAnsi="Garamond"/>
          <w:b w:val="0"/>
          <w:bCs w:val="0"/>
        </w:rPr>
      </w:pPr>
      <w:r>
        <w:rPr>
          <w:rFonts w:ascii="Garamond" w:hAnsi="Garamond"/>
          <w:b w:val="0"/>
          <w:bCs w:val="0"/>
        </w:rPr>
        <w:t xml:space="preserve">So, we think </w:t>
      </w:r>
      <w:r w:rsidRPr="00DB2C84">
        <w:rPr>
          <w:rFonts w:ascii="Garamond" w:hAnsi="Garamond"/>
          <w:b w:val="0"/>
          <w:bCs w:val="0"/>
        </w:rPr>
        <w:t>RRC based Early TA Acquisition can be configured by the source cell to the UE</w:t>
      </w:r>
      <w:r>
        <w:rPr>
          <w:rFonts w:ascii="Garamond" w:hAnsi="Garamond"/>
          <w:b w:val="0"/>
          <w:bCs w:val="0"/>
        </w:rPr>
        <w:t xml:space="preserve"> and UE may immediately start acquiring TA of at least one candidate cell.</w:t>
      </w:r>
    </w:p>
    <w:p w14:paraId="13758486" w14:textId="77777777" w:rsidR="00DB2C84" w:rsidRPr="00CD20B9" w:rsidRDefault="00DB2C84" w:rsidP="00DB2C84">
      <w:pPr>
        <w:rPr>
          <w:rFonts w:ascii="Garamond" w:hAnsi="Garamond"/>
          <w:b/>
          <w:bCs/>
        </w:rPr>
      </w:pPr>
      <w:r w:rsidRPr="00924861">
        <w:rPr>
          <w:rFonts w:ascii="Garamond" w:hAnsi="Garamond"/>
          <w:b/>
          <w:bCs/>
        </w:rPr>
        <w:t xml:space="preserve">Proposal </w:t>
      </w:r>
      <w:r>
        <w:rPr>
          <w:rFonts w:ascii="Garamond" w:hAnsi="Garamond"/>
          <w:b/>
          <w:bCs/>
        </w:rPr>
        <w:t>1</w:t>
      </w:r>
      <w:r w:rsidRPr="00CD20B9">
        <w:rPr>
          <w:rFonts w:ascii="Garamond" w:hAnsi="Garamond"/>
          <w:b/>
          <w:bCs/>
        </w:rPr>
        <w:t>: RRC based Early TA Acquisition can be configured by the source cell to the UE.</w:t>
      </w:r>
    </w:p>
    <w:p w14:paraId="13A09B61" w14:textId="77777777" w:rsidR="00DB2C84" w:rsidRDefault="00DB2C84" w:rsidP="004D4259">
      <w:pPr>
        <w:pStyle w:val="Proposal"/>
        <w:tabs>
          <w:tab w:val="clear" w:pos="1304"/>
        </w:tabs>
        <w:ind w:left="0" w:firstLine="0"/>
        <w:rPr>
          <w:rFonts w:ascii="Garamond" w:hAnsi="Garamond"/>
          <w:b w:val="0"/>
          <w:bCs w:val="0"/>
        </w:rPr>
      </w:pPr>
    </w:p>
    <w:p w14:paraId="21CDC2BD" w14:textId="5BB5E66F" w:rsidR="00CD20B9" w:rsidRDefault="00CD20B9" w:rsidP="004D4259">
      <w:pPr>
        <w:pStyle w:val="Proposal"/>
        <w:tabs>
          <w:tab w:val="clear" w:pos="1304"/>
        </w:tabs>
        <w:ind w:left="0" w:firstLine="0"/>
        <w:rPr>
          <w:rFonts w:ascii="Garamond" w:hAnsi="Garamond"/>
          <w:b w:val="0"/>
          <w:bCs w:val="0"/>
        </w:rPr>
      </w:pPr>
      <w:r>
        <w:rPr>
          <w:rFonts w:ascii="Garamond" w:hAnsi="Garamond"/>
          <w:b w:val="0"/>
          <w:bCs w:val="0"/>
        </w:rPr>
        <w:t xml:space="preserve">Of course, there are many situations where PDCCH order based Early TA acquisition </w:t>
      </w:r>
      <w:r w:rsidR="00DB2C84">
        <w:rPr>
          <w:rFonts w:ascii="Garamond" w:hAnsi="Garamond"/>
          <w:b w:val="0"/>
          <w:bCs w:val="0"/>
        </w:rPr>
        <w:t xml:space="preserve">may </w:t>
      </w:r>
      <w:r>
        <w:rPr>
          <w:rFonts w:ascii="Garamond" w:hAnsi="Garamond"/>
          <w:b w:val="0"/>
          <w:bCs w:val="0"/>
        </w:rPr>
        <w:t xml:space="preserve">need to be used </w:t>
      </w:r>
      <w:r w:rsidR="00DB2C84">
        <w:rPr>
          <w:rFonts w:ascii="Garamond" w:hAnsi="Garamond"/>
          <w:b w:val="0"/>
          <w:bCs w:val="0"/>
        </w:rPr>
        <w:t xml:space="preserve">as well </w:t>
      </w:r>
      <w:r>
        <w:rPr>
          <w:rFonts w:ascii="Garamond" w:hAnsi="Garamond"/>
          <w:b w:val="0"/>
          <w:bCs w:val="0"/>
        </w:rPr>
        <w:t>e.g.,</w:t>
      </w:r>
    </w:p>
    <w:p w14:paraId="454656B3" w14:textId="5A1F5F68" w:rsidR="00CD20B9" w:rsidRDefault="00CD20B9" w:rsidP="00CD20B9">
      <w:pPr>
        <w:pStyle w:val="Proposal"/>
        <w:numPr>
          <w:ilvl w:val="0"/>
          <w:numId w:val="15"/>
        </w:numPr>
        <w:rPr>
          <w:rFonts w:ascii="Garamond" w:hAnsi="Garamond"/>
          <w:b w:val="0"/>
          <w:bCs w:val="0"/>
        </w:rPr>
      </w:pPr>
      <w:r>
        <w:rPr>
          <w:rFonts w:ascii="Garamond" w:hAnsi="Garamond"/>
          <w:b w:val="0"/>
          <w:bCs w:val="0"/>
        </w:rPr>
        <w:t>Initial Early TA acquisition for a candidate cell</w:t>
      </w:r>
    </w:p>
    <w:p w14:paraId="7BB73869" w14:textId="5B14590F" w:rsidR="00CD20B9" w:rsidRDefault="00CD20B9" w:rsidP="00CD20B9">
      <w:pPr>
        <w:pStyle w:val="Proposal"/>
        <w:numPr>
          <w:ilvl w:val="0"/>
          <w:numId w:val="15"/>
        </w:numPr>
        <w:rPr>
          <w:rFonts w:ascii="Garamond" w:hAnsi="Garamond"/>
          <w:b w:val="0"/>
          <w:bCs w:val="0"/>
        </w:rPr>
      </w:pPr>
      <w:r>
        <w:rPr>
          <w:rFonts w:ascii="Garamond" w:hAnsi="Garamond"/>
          <w:b w:val="0"/>
          <w:bCs w:val="0"/>
        </w:rPr>
        <w:t>Early TA re-acquisition for a candidate cell</w:t>
      </w:r>
    </w:p>
    <w:p w14:paraId="0CFB3250" w14:textId="676C0E05" w:rsidR="0037741A" w:rsidRPr="00924861" w:rsidRDefault="00CD20B9" w:rsidP="00CD20B9">
      <w:pPr>
        <w:pStyle w:val="Proposal"/>
        <w:tabs>
          <w:tab w:val="clear" w:pos="1304"/>
        </w:tabs>
        <w:ind w:left="0" w:firstLine="0"/>
        <w:rPr>
          <w:rFonts w:ascii="Garamond" w:hAnsi="Garamond"/>
          <w:b w:val="0"/>
          <w:bCs w:val="0"/>
        </w:rPr>
      </w:pPr>
      <w:r>
        <w:rPr>
          <w:rFonts w:ascii="Garamond" w:hAnsi="Garamond"/>
          <w:b w:val="0"/>
          <w:bCs w:val="0"/>
        </w:rPr>
        <w:t xml:space="preserve">We think that indeed both RRC based and PDCCH order based Early TA acquisition has its benefits and </w:t>
      </w:r>
      <w:r w:rsidR="004D4259" w:rsidRPr="0037741A">
        <w:rPr>
          <w:rFonts w:ascii="Garamond" w:hAnsi="Garamond"/>
          <w:b w:val="0"/>
          <w:bCs w:val="0"/>
        </w:rPr>
        <w:t>therefore we propose:</w:t>
      </w:r>
    </w:p>
    <w:p w14:paraId="6A90787D" w14:textId="58A35700" w:rsidR="00A322B6" w:rsidRDefault="00AB30D0" w:rsidP="00AB30D0">
      <w:pPr>
        <w:rPr>
          <w:rFonts w:ascii="Garamond" w:hAnsi="Garamond"/>
          <w:b/>
          <w:bCs/>
        </w:rPr>
      </w:pPr>
      <w:r w:rsidRPr="00924861">
        <w:rPr>
          <w:rFonts w:ascii="Garamond" w:hAnsi="Garamond"/>
          <w:b/>
          <w:bCs/>
        </w:rPr>
        <w:t xml:space="preserve">Proposal </w:t>
      </w:r>
      <w:r w:rsidR="00CD20B9">
        <w:rPr>
          <w:rFonts w:ascii="Garamond" w:hAnsi="Garamond"/>
          <w:b/>
          <w:bCs/>
        </w:rPr>
        <w:t>2</w:t>
      </w:r>
      <w:r w:rsidRPr="00924861">
        <w:rPr>
          <w:rFonts w:ascii="Garamond" w:hAnsi="Garamond"/>
          <w:b/>
          <w:bCs/>
        </w:rPr>
        <w:t xml:space="preserve">: </w:t>
      </w:r>
      <w:r w:rsidR="00EF41F6">
        <w:rPr>
          <w:rFonts w:ascii="Garamond" w:hAnsi="Garamond"/>
          <w:b/>
          <w:bCs/>
        </w:rPr>
        <w:t xml:space="preserve">Both </w:t>
      </w:r>
      <w:r w:rsidR="006525F7" w:rsidRPr="00924861">
        <w:rPr>
          <w:rFonts w:ascii="Garamond" w:hAnsi="Garamond"/>
          <w:b/>
          <w:bCs/>
        </w:rPr>
        <w:t>PDCCH order and RRC Reconfiguration triggered Early TA acquisition can be supported simultaneously.</w:t>
      </w:r>
    </w:p>
    <w:p w14:paraId="11327335" w14:textId="77777777" w:rsidR="0092536B" w:rsidRPr="00B17432" w:rsidRDefault="0092536B" w:rsidP="00AB30D0">
      <w:pPr>
        <w:rPr>
          <w:rFonts w:ascii="Garamond" w:hAnsi="Garamond"/>
          <w:b/>
          <w:bCs/>
        </w:rPr>
      </w:pPr>
    </w:p>
    <w:p w14:paraId="2ED7C669" w14:textId="77777777" w:rsidR="00A322B6" w:rsidRDefault="00A322B6" w:rsidP="009B69AC">
      <w:pPr>
        <w:pStyle w:val="Proposal"/>
        <w:ind w:left="0" w:firstLine="0"/>
        <w:rPr>
          <w:rFonts w:ascii="Garamond" w:hAnsi="Garamond"/>
        </w:rPr>
      </w:pPr>
    </w:p>
    <w:p w14:paraId="3A425E96" w14:textId="69B55188" w:rsidR="00DA2C5E" w:rsidRDefault="00DA2C5E" w:rsidP="008234BF">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sidRPr="007022BC">
        <w:rPr>
          <w:rFonts w:ascii="Times New Roman" w:hAnsi="Times New Roman"/>
          <w:b/>
          <w:sz w:val="32"/>
          <w:szCs w:val="32"/>
          <w:lang w:eastAsia="zh-CN"/>
        </w:rPr>
        <w:t>Conclusion</w:t>
      </w:r>
    </w:p>
    <w:p w14:paraId="6C05C8FD" w14:textId="07574FE5" w:rsidR="002B6EA4" w:rsidRPr="00DF3016" w:rsidRDefault="00F22E0D" w:rsidP="002B6EA4">
      <w:pPr>
        <w:rPr>
          <w:rFonts w:ascii="Garamond" w:hAnsi="Garamond"/>
        </w:rPr>
      </w:pPr>
      <w:r>
        <w:rPr>
          <w:rFonts w:ascii="Garamond" w:hAnsi="Garamond"/>
        </w:rPr>
        <w:t>Relying only on the RAN1 mechanism of using PDCCH Order to implement Early TA acquisition</w:t>
      </w:r>
      <w:r w:rsidR="008C41F9">
        <w:rPr>
          <w:rFonts w:ascii="Garamond" w:hAnsi="Garamond"/>
        </w:rPr>
        <w:t xml:space="preserve"> (</w:t>
      </w:r>
      <w:r>
        <w:rPr>
          <w:rFonts w:ascii="Garamond" w:hAnsi="Garamond"/>
        </w:rPr>
        <w:t>which is useful as it allows network control in deciding on when and for which cell(s) the Early TA would be acquired by a UE</w:t>
      </w:r>
      <w:r w:rsidR="008C41F9">
        <w:rPr>
          <w:rFonts w:ascii="Garamond" w:hAnsi="Garamond"/>
        </w:rPr>
        <w:t>)</w:t>
      </w:r>
      <w:r>
        <w:rPr>
          <w:rFonts w:ascii="Garamond" w:hAnsi="Garamond"/>
        </w:rPr>
        <w:t>, but proponent think that this still does not allow for early enough TA acquisition</w:t>
      </w:r>
      <w:r w:rsidR="002B6EA4" w:rsidRPr="00DF3016">
        <w:rPr>
          <w:rFonts w:ascii="Garamond" w:hAnsi="Garamond"/>
        </w:rPr>
        <w:t xml:space="preserve"> and accordingly</w:t>
      </w:r>
      <w:r w:rsidR="00EC75A5">
        <w:rPr>
          <w:rFonts w:ascii="Garamond" w:hAnsi="Garamond"/>
        </w:rPr>
        <w:t>. T</w:t>
      </w:r>
      <w:r w:rsidR="002B6EA4" w:rsidRPr="00DF3016">
        <w:rPr>
          <w:rFonts w:ascii="Garamond" w:hAnsi="Garamond"/>
        </w:rPr>
        <w:t>he following proposals are made:</w:t>
      </w:r>
    </w:p>
    <w:p w14:paraId="5C37D046" w14:textId="643DEF0F" w:rsidR="005E4B96" w:rsidRDefault="005E4B96" w:rsidP="002B6EA4"/>
    <w:p w14:paraId="5D119CB1" w14:textId="77777777" w:rsidR="00F22E0D" w:rsidRPr="00CD20B9" w:rsidRDefault="00F22E0D" w:rsidP="00F22E0D">
      <w:pPr>
        <w:rPr>
          <w:rFonts w:ascii="Garamond" w:hAnsi="Garamond"/>
          <w:b/>
          <w:bCs/>
        </w:rPr>
      </w:pPr>
      <w:r w:rsidRPr="00924861">
        <w:rPr>
          <w:rFonts w:ascii="Garamond" w:hAnsi="Garamond"/>
          <w:b/>
          <w:bCs/>
        </w:rPr>
        <w:t xml:space="preserve">Proposal </w:t>
      </w:r>
      <w:r>
        <w:rPr>
          <w:rFonts w:ascii="Garamond" w:hAnsi="Garamond"/>
          <w:b/>
          <w:bCs/>
        </w:rPr>
        <w:t>1</w:t>
      </w:r>
      <w:r w:rsidRPr="00CD20B9">
        <w:rPr>
          <w:rFonts w:ascii="Garamond" w:hAnsi="Garamond"/>
          <w:b/>
          <w:bCs/>
        </w:rPr>
        <w:t>: RRC based Early TA Acquisition can be configured by the source cell to the UE.</w:t>
      </w:r>
    </w:p>
    <w:p w14:paraId="4BCA02C5" w14:textId="77777777" w:rsidR="00F22E0D" w:rsidRDefault="00F22E0D" w:rsidP="00E21EFA">
      <w:pPr>
        <w:rPr>
          <w:rFonts w:ascii="Garamond" w:hAnsi="Garamond"/>
          <w:b/>
          <w:bCs/>
        </w:rPr>
      </w:pPr>
    </w:p>
    <w:p w14:paraId="250EBE4C" w14:textId="765BDE51" w:rsidR="006C4E87" w:rsidRDefault="00F22E0D" w:rsidP="00E21EFA">
      <w:pPr>
        <w:rPr>
          <w:rFonts w:ascii="Garamond" w:hAnsi="Garamond"/>
          <w:b/>
          <w:bCs/>
        </w:rPr>
      </w:pPr>
      <w:r w:rsidRPr="00924861">
        <w:rPr>
          <w:rFonts w:ascii="Garamond" w:hAnsi="Garamond"/>
          <w:b/>
          <w:bCs/>
        </w:rPr>
        <w:t xml:space="preserve">Proposal </w:t>
      </w:r>
      <w:r w:rsidR="00037BEA">
        <w:rPr>
          <w:rFonts w:ascii="Garamond" w:hAnsi="Garamond"/>
          <w:b/>
          <w:bCs/>
        </w:rPr>
        <w:t>2</w:t>
      </w:r>
      <w:r w:rsidRPr="00924861">
        <w:rPr>
          <w:rFonts w:ascii="Garamond" w:hAnsi="Garamond"/>
          <w:b/>
          <w:bCs/>
        </w:rPr>
        <w:t xml:space="preserve">: </w:t>
      </w:r>
      <w:r w:rsidR="003D21D2">
        <w:rPr>
          <w:rFonts w:ascii="Garamond" w:hAnsi="Garamond"/>
          <w:b/>
          <w:bCs/>
        </w:rPr>
        <w:t xml:space="preserve">Both </w:t>
      </w:r>
      <w:r w:rsidRPr="00924861">
        <w:rPr>
          <w:rFonts w:ascii="Garamond" w:hAnsi="Garamond"/>
          <w:b/>
          <w:bCs/>
        </w:rPr>
        <w:t>PDCCH order and RRC Reconfiguration triggered Early TA acquisition can be supported simultaneously</w:t>
      </w:r>
      <w:r w:rsidR="007A3802" w:rsidRPr="00924861">
        <w:rPr>
          <w:rFonts w:ascii="Garamond" w:hAnsi="Garamond"/>
          <w:b/>
          <w:bCs/>
        </w:rPr>
        <w:t>.</w:t>
      </w:r>
    </w:p>
    <w:p w14:paraId="3D6CC236" w14:textId="106363F7" w:rsidR="0092536B" w:rsidRDefault="0092536B" w:rsidP="00E21EFA">
      <w:pPr>
        <w:rPr>
          <w:rFonts w:ascii="Garamond" w:hAnsi="Garamond"/>
          <w:b/>
          <w:bCs/>
        </w:rPr>
      </w:pPr>
    </w:p>
    <w:p w14:paraId="51B48CAD" w14:textId="4C7E4ECF" w:rsidR="00DD7FE4" w:rsidRPr="00DD7FE4" w:rsidRDefault="00DF3016" w:rsidP="00DD7FE4">
      <w:pPr>
        <w:keepNext/>
        <w:keepLines/>
        <w:widowControl w:val="0"/>
        <w:numPr>
          <w:ilvl w:val="0"/>
          <w:numId w:val="7"/>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Times New Roman" w:hAnsi="Times New Roman"/>
          <w:b/>
          <w:sz w:val="32"/>
          <w:szCs w:val="32"/>
          <w:lang w:eastAsia="zh-CN"/>
        </w:rPr>
      </w:pPr>
      <w:r>
        <w:rPr>
          <w:rFonts w:ascii="Times New Roman" w:hAnsi="Times New Roman"/>
          <w:b/>
          <w:sz w:val="32"/>
          <w:szCs w:val="32"/>
          <w:lang w:eastAsia="zh-CN"/>
        </w:rPr>
        <w:t>Reference</w:t>
      </w:r>
    </w:p>
    <w:sectPr w:rsidR="00DD7FE4" w:rsidRPr="00DD7F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41428" w14:textId="77777777" w:rsidR="00E3493A" w:rsidRDefault="00E3493A" w:rsidP="007B2783">
      <w:r>
        <w:separator/>
      </w:r>
    </w:p>
  </w:endnote>
  <w:endnote w:type="continuationSeparator" w:id="0">
    <w:p w14:paraId="2D0C8837" w14:textId="77777777" w:rsidR="00E3493A" w:rsidRDefault="00E3493A" w:rsidP="007B2783">
      <w:r>
        <w:continuationSeparator/>
      </w:r>
    </w:p>
  </w:endnote>
  <w:endnote w:type="continuationNotice" w:id="1">
    <w:p w14:paraId="258AC5FF" w14:textId="77777777" w:rsidR="00E3493A" w:rsidRDefault="00E34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17B6" w14:textId="77777777" w:rsidR="00E3493A" w:rsidRDefault="00E3493A" w:rsidP="007B2783">
      <w:r>
        <w:separator/>
      </w:r>
    </w:p>
  </w:footnote>
  <w:footnote w:type="continuationSeparator" w:id="0">
    <w:p w14:paraId="0B8D206E" w14:textId="77777777" w:rsidR="00E3493A" w:rsidRDefault="00E3493A" w:rsidP="007B2783">
      <w:r>
        <w:continuationSeparator/>
      </w:r>
    </w:p>
  </w:footnote>
  <w:footnote w:type="continuationNotice" w:id="1">
    <w:p w14:paraId="6DA3DBE6" w14:textId="77777777" w:rsidR="00E3493A" w:rsidRDefault="00E349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01FFF"/>
    <w:multiLevelType w:val="hybridMultilevel"/>
    <w:tmpl w:val="AD5E5BC6"/>
    <w:lvl w:ilvl="0" w:tplc="8C88A18A">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D54DE"/>
    <w:multiLevelType w:val="hybridMultilevel"/>
    <w:tmpl w:val="1118319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A46647"/>
    <w:multiLevelType w:val="hybridMultilevel"/>
    <w:tmpl w:val="E4A08C5C"/>
    <w:lvl w:ilvl="0" w:tplc="3294A5C6">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ED6B25"/>
    <w:multiLevelType w:val="hybridMultilevel"/>
    <w:tmpl w:val="C0564542"/>
    <w:lvl w:ilvl="0" w:tplc="D72EA0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D16BF0"/>
    <w:multiLevelType w:val="hybridMultilevel"/>
    <w:tmpl w:val="E4A08C5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447"/>
        </w:tabs>
        <w:ind w:left="447" w:hanging="360"/>
      </w:p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1"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342A3C"/>
    <w:multiLevelType w:val="hybridMultilevel"/>
    <w:tmpl w:val="1B062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95165CF"/>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25499770">
    <w:abstractNumId w:val="6"/>
  </w:num>
  <w:num w:numId="2" w16cid:durableId="1388643838">
    <w:abstractNumId w:val="9"/>
  </w:num>
  <w:num w:numId="3" w16cid:durableId="2129732997">
    <w:abstractNumId w:val="0"/>
  </w:num>
  <w:num w:numId="4" w16cid:durableId="674500081">
    <w:abstractNumId w:val="11"/>
  </w:num>
  <w:num w:numId="5" w16cid:durableId="1143693571">
    <w:abstractNumId w:val="7"/>
  </w:num>
  <w:num w:numId="6" w16cid:durableId="871381610">
    <w:abstractNumId w:val="5"/>
  </w:num>
  <w:num w:numId="7" w16cid:durableId="886527837">
    <w:abstractNumId w:val="1"/>
  </w:num>
  <w:num w:numId="8" w16cid:durableId="2143190258">
    <w:abstractNumId w:val="14"/>
  </w:num>
  <w:num w:numId="9" w16cid:durableId="749232890">
    <w:abstractNumId w:val="10"/>
  </w:num>
  <w:num w:numId="10" w16cid:durableId="541983341">
    <w:abstractNumId w:val="8"/>
  </w:num>
  <w:num w:numId="11" w16cid:durableId="788938676">
    <w:abstractNumId w:val="2"/>
  </w:num>
  <w:num w:numId="12" w16cid:durableId="1426222733">
    <w:abstractNumId w:val="12"/>
  </w:num>
  <w:num w:numId="13" w16cid:durableId="1301228965">
    <w:abstractNumId w:val="3"/>
  </w:num>
  <w:num w:numId="14" w16cid:durableId="2107116196">
    <w:abstractNumId w:val="13"/>
  </w:num>
  <w:num w:numId="15" w16cid:durableId="18243914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AC"/>
    <w:rsid w:val="00000265"/>
    <w:rsid w:val="000162BF"/>
    <w:rsid w:val="00023227"/>
    <w:rsid w:val="0002401E"/>
    <w:rsid w:val="00026311"/>
    <w:rsid w:val="000326CD"/>
    <w:rsid w:val="00033590"/>
    <w:rsid w:val="00034044"/>
    <w:rsid w:val="000369FB"/>
    <w:rsid w:val="00037BEA"/>
    <w:rsid w:val="00045665"/>
    <w:rsid w:val="00047442"/>
    <w:rsid w:val="00067EC6"/>
    <w:rsid w:val="00083AA6"/>
    <w:rsid w:val="00095B68"/>
    <w:rsid w:val="00097F88"/>
    <w:rsid w:val="000D2D51"/>
    <w:rsid w:val="000D79C5"/>
    <w:rsid w:val="000E2B18"/>
    <w:rsid w:val="000E7BFA"/>
    <w:rsid w:val="000E7C84"/>
    <w:rsid w:val="00100623"/>
    <w:rsid w:val="00105A51"/>
    <w:rsid w:val="00124A14"/>
    <w:rsid w:val="0013438C"/>
    <w:rsid w:val="00141A88"/>
    <w:rsid w:val="00145589"/>
    <w:rsid w:val="00153079"/>
    <w:rsid w:val="0016023D"/>
    <w:rsid w:val="00160416"/>
    <w:rsid w:val="00160D24"/>
    <w:rsid w:val="00171B35"/>
    <w:rsid w:val="001739D8"/>
    <w:rsid w:val="00183B47"/>
    <w:rsid w:val="00196252"/>
    <w:rsid w:val="001A7AA8"/>
    <w:rsid w:val="001B0852"/>
    <w:rsid w:val="001B22D9"/>
    <w:rsid w:val="001C4ABB"/>
    <w:rsid w:val="001D387A"/>
    <w:rsid w:val="001E7EF6"/>
    <w:rsid w:val="00206DED"/>
    <w:rsid w:val="002154B8"/>
    <w:rsid w:val="002156B7"/>
    <w:rsid w:val="002230D8"/>
    <w:rsid w:val="0022684C"/>
    <w:rsid w:val="00230A0E"/>
    <w:rsid w:val="002313DF"/>
    <w:rsid w:val="00242F6E"/>
    <w:rsid w:val="00243F03"/>
    <w:rsid w:val="00250CF8"/>
    <w:rsid w:val="00253563"/>
    <w:rsid w:val="0026170D"/>
    <w:rsid w:val="0026215B"/>
    <w:rsid w:val="00264BFA"/>
    <w:rsid w:val="0027435E"/>
    <w:rsid w:val="002779D8"/>
    <w:rsid w:val="00282647"/>
    <w:rsid w:val="002903AC"/>
    <w:rsid w:val="002A27A9"/>
    <w:rsid w:val="002A6C41"/>
    <w:rsid w:val="002B6EA4"/>
    <w:rsid w:val="002D0F99"/>
    <w:rsid w:val="002E437F"/>
    <w:rsid w:val="00306DC7"/>
    <w:rsid w:val="00317A3E"/>
    <w:rsid w:val="00332917"/>
    <w:rsid w:val="003345E7"/>
    <w:rsid w:val="00360184"/>
    <w:rsid w:val="0037741A"/>
    <w:rsid w:val="00383478"/>
    <w:rsid w:val="00391727"/>
    <w:rsid w:val="003A5C3F"/>
    <w:rsid w:val="003C4AC6"/>
    <w:rsid w:val="003D21D2"/>
    <w:rsid w:val="003E6040"/>
    <w:rsid w:val="003F4121"/>
    <w:rsid w:val="003F5508"/>
    <w:rsid w:val="003F7342"/>
    <w:rsid w:val="00400672"/>
    <w:rsid w:val="0040225E"/>
    <w:rsid w:val="0040771B"/>
    <w:rsid w:val="00415F10"/>
    <w:rsid w:val="0042776C"/>
    <w:rsid w:val="0043425C"/>
    <w:rsid w:val="004362E2"/>
    <w:rsid w:val="00454FDD"/>
    <w:rsid w:val="004571EF"/>
    <w:rsid w:val="0047136D"/>
    <w:rsid w:val="004820CE"/>
    <w:rsid w:val="00492C51"/>
    <w:rsid w:val="004B560F"/>
    <w:rsid w:val="004D322A"/>
    <w:rsid w:val="004D4259"/>
    <w:rsid w:val="004D4ABD"/>
    <w:rsid w:val="004D67FA"/>
    <w:rsid w:val="004E2788"/>
    <w:rsid w:val="004F1048"/>
    <w:rsid w:val="00500A6C"/>
    <w:rsid w:val="00500C58"/>
    <w:rsid w:val="005035AC"/>
    <w:rsid w:val="005159EE"/>
    <w:rsid w:val="00523F73"/>
    <w:rsid w:val="00530E0C"/>
    <w:rsid w:val="00553B92"/>
    <w:rsid w:val="00555EEA"/>
    <w:rsid w:val="0056049D"/>
    <w:rsid w:val="00575414"/>
    <w:rsid w:val="00591F32"/>
    <w:rsid w:val="005A17AB"/>
    <w:rsid w:val="005B30B2"/>
    <w:rsid w:val="005E4B96"/>
    <w:rsid w:val="00603D42"/>
    <w:rsid w:val="00625CA1"/>
    <w:rsid w:val="00627691"/>
    <w:rsid w:val="0064237A"/>
    <w:rsid w:val="00645964"/>
    <w:rsid w:val="006525F7"/>
    <w:rsid w:val="0066123D"/>
    <w:rsid w:val="006616D9"/>
    <w:rsid w:val="00664FF6"/>
    <w:rsid w:val="0067484E"/>
    <w:rsid w:val="00677F87"/>
    <w:rsid w:val="006819A0"/>
    <w:rsid w:val="00696CF9"/>
    <w:rsid w:val="006C4E87"/>
    <w:rsid w:val="006D0E89"/>
    <w:rsid w:val="006D104C"/>
    <w:rsid w:val="006D2501"/>
    <w:rsid w:val="006E331A"/>
    <w:rsid w:val="006E6E90"/>
    <w:rsid w:val="006F5B61"/>
    <w:rsid w:val="006F5C02"/>
    <w:rsid w:val="00705C3D"/>
    <w:rsid w:val="00706D14"/>
    <w:rsid w:val="00716479"/>
    <w:rsid w:val="00717E5A"/>
    <w:rsid w:val="00722B9C"/>
    <w:rsid w:val="007319D4"/>
    <w:rsid w:val="00731F99"/>
    <w:rsid w:val="0073766F"/>
    <w:rsid w:val="00743846"/>
    <w:rsid w:val="00745579"/>
    <w:rsid w:val="007532C4"/>
    <w:rsid w:val="00775678"/>
    <w:rsid w:val="007A2CEC"/>
    <w:rsid w:val="007A3802"/>
    <w:rsid w:val="007A7E75"/>
    <w:rsid w:val="007B2783"/>
    <w:rsid w:val="007C25B1"/>
    <w:rsid w:val="007D0C56"/>
    <w:rsid w:val="007D1A1C"/>
    <w:rsid w:val="007E176D"/>
    <w:rsid w:val="007E3017"/>
    <w:rsid w:val="007E5008"/>
    <w:rsid w:val="007E591A"/>
    <w:rsid w:val="0080002C"/>
    <w:rsid w:val="00802B75"/>
    <w:rsid w:val="0080798A"/>
    <w:rsid w:val="00814644"/>
    <w:rsid w:val="00816C54"/>
    <w:rsid w:val="00817843"/>
    <w:rsid w:val="008234BF"/>
    <w:rsid w:val="008274EF"/>
    <w:rsid w:val="00836E7C"/>
    <w:rsid w:val="00851D2D"/>
    <w:rsid w:val="00855555"/>
    <w:rsid w:val="00872F04"/>
    <w:rsid w:val="00875B05"/>
    <w:rsid w:val="00880DD4"/>
    <w:rsid w:val="00882CE6"/>
    <w:rsid w:val="0088338B"/>
    <w:rsid w:val="00885F02"/>
    <w:rsid w:val="008916B9"/>
    <w:rsid w:val="00891A4E"/>
    <w:rsid w:val="0089524F"/>
    <w:rsid w:val="008A09F5"/>
    <w:rsid w:val="008A3561"/>
    <w:rsid w:val="008C0610"/>
    <w:rsid w:val="008C1389"/>
    <w:rsid w:val="008C41F9"/>
    <w:rsid w:val="008D0118"/>
    <w:rsid w:val="008D25A4"/>
    <w:rsid w:val="008D2EC8"/>
    <w:rsid w:val="008F5B11"/>
    <w:rsid w:val="0090632D"/>
    <w:rsid w:val="009160F2"/>
    <w:rsid w:val="00924861"/>
    <w:rsid w:val="0092536B"/>
    <w:rsid w:val="0093705D"/>
    <w:rsid w:val="00961E1D"/>
    <w:rsid w:val="009648AE"/>
    <w:rsid w:val="00974787"/>
    <w:rsid w:val="00983511"/>
    <w:rsid w:val="009929F2"/>
    <w:rsid w:val="009A7C43"/>
    <w:rsid w:val="009B6443"/>
    <w:rsid w:val="009B69AC"/>
    <w:rsid w:val="009B70A1"/>
    <w:rsid w:val="009D4FA0"/>
    <w:rsid w:val="009E0AEA"/>
    <w:rsid w:val="009F6646"/>
    <w:rsid w:val="00A03A1D"/>
    <w:rsid w:val="00A043E5"/>
    <w:rsid w:val="00A2693B"/>
    <w:rsid w:val="00A322B6"/>
    <w:rsid w:val="00A42231"/>
    <w:rsid w:val="00A43A74"/>
    <w:rsid w:val="00A53549"/>
    <w:rsid w:val="00A55DE2"/>
    <w:rsid w:val="00A57013"/>
    <w:rsid w:val="00A70EA4"/>
    <w:rsid w:val="00A7237C"/>
    <w:rsid w:val="00A82EF9"/>
    <w:rsid w:val="00A85473"/>
    <w:rsid w:val="00A85F72"/>
    <w:rsid w:val="00A971D7"/>
    <w:rsid w:val="00AA1235"/>
    <w:rsid w:val="00AA3EDC"/>
    <w:rsid w:val="00AB30D0"/>
    <w:rsid w:val="00AB7CF0"/>
    <w:rsid w:val="00AC7112"/>
    <w:rsid w:val="00AF0867"/>
    <w:rsid w:val="00B002C1"/>
    <w:rsid w:val="00B17432"/>
    <w:rsid w:val="00B20B05"/>
    <w:rsid w:val="00B32A3E"/>
    <w:rsid w:val="00B34E61"/>
    <w:rsid w:val="00B3786A"/>
    <w:rsid w:val="00B646FE"/>
    <w:rsid w:val="00B6798D"/>
    <w:rsid w:val="00B74C43"/>
    <w:rsid w:val="00B87445"/>
    <w:rsid w:val="00B9658C"/>
    <w:rsid w:val="00BF4925"/>
    <w:rsid w:val="00C0262F"/>
    <w:rsid w:val="00C0686F"/>
    <w:rsid w:val="00C13F9C"/>
    <w:rsid w:val="00C14217"/>
    <w:rsid w:val="00C2257F"/>
    <w:rsid w:val="00C24340"/>
    <w:rsid w:val="00C5034E"/>
    <w:rsid w:val="00C66384"/>
    <w:rsid w:val="00C70CEF"/>
    <w:rsid w:val="00C87332"/>
    <w:rsid w:val="00CB74FF"/>
    <w:rsid w:val="00CD20B9"/>
    <w:rsid w:val="00CE1169"/>
    <w:rsid w:val="00CE3ED3"/>
    <w:rsid w:val="00CE4EF1"/>
    <w:rsid w:val="00CE6BEF"/>
    <w:rsid w:val="00CF5DDF"/>
    <w:rsid w:val="00D110BD"/>
    <w:rsid w:val="00D21F15"/>
    <w:rsid w:val="00D2216D"/>
    <w:rsid w:val="00D531BB"/>
    <w:rsid w:val="00D532A2"/>
    <w:rsid w:val="00D53CAE"/>
    <w:rsid w:val="00D57B25"/>
    <w:rsid w:val="00D66220"/>
    <w:rsid w:val="00D73614"/>
    <w:rsid w:val="00D767BB"/>
    <w:rsid w:val="00D77CE9"/>
    <w:rsid w:val="00DA2C5E"/>
    <w:rsid w:val="00DB2C84"/>
    <w:rsid w:val="00DB5412"/>
    <w:rsid w:val="00DB620C"/>
    <w:rsid w:val="00DB7DD6"/>
    <w:rsid w:val="00DD4930"/>
    <w:rsid w:val="00DD608D"/>
    <w:rsid w:val="00DD7FE4"/>
    <w:rsid w:val="00DE2B89"/>
    <w:rsid w:val="00DF3016"/>
    <w:rsid w:val="00E053C5"/>
    <w:rsid w:val="00E17C58"/>
    <w:rsid w:val="00E21EFA"/>
    <w:rsid w:val="00E22F0D"/>
    <w:rsid w:val="00E25B88"/>
    <w:rsid w:val="00E32673"/>
    <w:rsid w:val="00E3493A"/>
    <w:rsid w:val="00E4461A"/>
    <w:rsid w:val="00E46096"/>
    <w:rsid w:val="00E616EA"/>
    <w:rsid w:val="00E646C8"/>
    <w:rsid w:val="00E66D74"/>
    <w:rsid w:val="00E670FF"/>
    <w:rsid w:val="00E83EDE"/>
    <w:rsid w:val="00E93AE3"/>
    <w:rsid w:val="00E93F06"/>
    <w:rsid w:val="00EA1F92"/>
    <w:rsid w:val="00EA3E1A"/>
    <w:rsid w:val="00EA7EFF"/>
    <w:rsid w:val="00EB7622"/>
    <w:rsid w:val="00EB773B"/>
    <w:rsid w:val="00EC29CE"/>
    <w:rsid w:val="00EC75A5"/>
    <w:rsid w:val="00EE2045"/>
    <w:rsid w:val="00EF41F6"/>
    <w:rsid w:val="00EF4CF5"/>
    <w:rsid w:val="00F02B4C"/>
    <w:rsid w:val="00F06A34"/>
    <w:rsid w:val="00F22E0D"/>
    <w:rsid w:val="00F3103B"/>
    <w:rsid w:val="00F40470"/>
    <w:rsid w:val="00F44E04"/>
    <w:rsid w:val="00F53CCD"/>
    <w:rsid w:val="00F6608C"/>
    <w:rsid w:val="00F83A7A"/>
    <w:rsid w:val="00F86533"/>
    <w:rsid w:val="00F878DF"/>
    <w:rsid w:val="00F93007"/>
    <w:rsid w:val="00FA320E"/>
    <w:rsid w:val="00FA543A"/>
    <w:rsid w:val="00FA5C5A"/>
    <w:rsid w:val="00FB0D56"/>
    <w:rsid w:val="00FC738D"/>
    <w:rsid w:val="00FF1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C01B43"/>
  <w15:chartTrackingRefBased/>
  <w15:docId w15:val="{F52DC569-6D5A-4ADF-BD27-512D56F1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03AC"/>
    <w:pPr>
      <w:spacing w:after="0" w:line="240" w:lineRule="auto"/>
    </w:pPr>
    <w:rPr>
      <w:rFonts w:ascii="Times" w:eastAsia="Batang" w:hAnsi="Times" w:cs="Times New Roman"/>
      <w:sz w:val="20"/>
      <w:szCs w:val="24"/>
      <w:lang w:val="en-GB"/>
    </w:rPr>
  </w:style>
  <w:style w:type="paragraph" w:styleId="1">
    <w:name w:val="heading 1"/>
    <w:aliases w:val="H1,h1,Heading 1 3GPP"/>
    <w:next w:val="a"/>
    <w:link w:val="10"/>
    <w:qFormat/>
    <w:rsid w:val="00DA2C5E"/>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97478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6608C"/>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03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a"/>
    <w:link w:val="a5"/>
    <w:uiPriority w:val="34"/>
    <w:qFormat/>
    <w:rsid w:val="002903AC"/>
    <w:pPr>
      <w:ind w:leftChars="400" w:left="840"/>
    </w:pPr>
  </w:style>
  <w:style w:type="character" w:customStyle="1" w:styleId="a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4"/>
    <w:uiPriority w:val="34"/>
    <w:qFormat/>
    <w:rsid w:val="002903AC"/>
    <w:rPr>
      <w:rFonts w:ascii="Times" w:eastAsia="Batang" w:hAnsi="Times" w:cs="Times New Roman"/>
      <w:sz w:val="20"/>
      <w:szCs w:val="24"/>
      <w:lang w:val="en-GB"/>
    </w:rPr>
  </w:style>
  <w:style w:type="paragraph" w:styleId="a6">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7"/>
    <w:uiPriority w:val="99"/>
    <w:unhideWhenUsed/>
    <w:qFormat/>
    <w:rsid w:val="000D79C5"/>
    <w:pPr>
      <w:spacing w:after="200"/>
    </w:pPr>
    <w:rPr>
      <w:i/>
      <w:iCs/>
      <w:color w:val="44546A" w:themeColor="text2"/>
      <w:sz w:val="18"/>
      <w:szCs w:val="18"/>
    </w:rPr>
  </w:style>
  <w:style w:type="paragraph" w:customStyle="1" w:styleId="Proposal">
    <w:name w:val="Proposal"/>
    <w:basedOn w:val="a"/>
    <w:qFormat/>
    <w:rsid w:val="00743846"/>
    <w:pPr>
      <w:tabs>
        <w:tab w:val="num" w:pos="1304"/>
        <w:tab w:val="left" w:pos="1701"/>
      </w:tabs>
      <w:overflowPunct w:val="0"/>
      <w:autoSpaceDE w:val="0"/>
      <w:autoSpaceDN w:val="0"/>
      <w:adjustRightInd w:val="0"/>
      <w:spacing w:after="120"/>
      <w:ind w:left="1304" w:hanging="1304"/>
      <w:jc w:val="both"/>
      <w:textAlignment w:val="baseline"/>
    </w:pPr>
    <w:rPr>
      <w:rFonts w:ascii="Arial" w:eastAsia="Times New Roman" w:hAnsi="Arial"/>
      <w:b/>
      <w:bCs/>
      <w:szCs w:val="20"/>
      <w:lang w:eastAsia="zh-CN"/>
    </w:rPr>
  </w:style>
  <w:style w:type="character" w:styleId="a8">
    <w:name w:val="annotation reference"/>
    <w:basedOn w:val="a0"/>
    <w:qFormat/>
    <w:rsid w:val="00183B47"/>
    <w:rPr>
      <w:sz w:val="16"/>
      <w:szCs w:val="16"/>
    </w:rPr>
  </w:style>
  <w:style w:type="paragraph" w:styleId="a9">
    <w:name w:val="annotation text"/>
    <w:basedOn w:val="a"/>
    <w:link w:val="aa"/>
    <w:qFormat/>
    <w:rsid w:val="00183B47"/>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aa">
    <w:name w:val="批注文字 字符"/>
    <w:basedOn w:val="a0"/>
    <w:link w:val="a9"/>
    <w:qFormat/>
    <w:rsid w:val="00183B47"/>
    <w:rPr>
      <w:rFonts w:ascii="Times New Roman" w:eastAsia="Times New Roman" w:hAnsi="Times New Roman" w:cs="Times New Roman"/>
      <w:sz w:val="20"/>
      <w:szCs w:val="20"/>
      <w:lang w:val="en-GB" w:eastAsia="ja-JP"/>
    </w:rPr>
  </w:style>
  <w:style w:type="character" w:customStyle="1" w:styleId="10">
    <w:name w:val="标题 1 字符"/>
    <w:aliases w:val="H1 字符,h1 字符,Heading 1 3GPP 字符"/>
    <w:basedOn w:val="a0"/>
    <w:link w:val="1"/>
    <w:rsid w:val="00DA2C5E"/>
    <w:rPr>
      <w:rFonts w:ascii="Arial" w:eastAsia="宋体" w:hAnsi="Arial" w:cs="Times New Roman"/>
      <w:sz w:val="36"/>
      <w:szCs w:val="20"/>
      <w:lang w:val="en-GB"/>
    </w:rPr>
  </w:style>
  <w:style w:type="character" w:customStyle="1" w:styleId="20">
    <w:name w:val="标题 2 字符"/>
    <w:basedOn w:val="a0"/>
    <w:link w:val="2"/>
    <w:uiPriority w:val="9"/>
    <w:rsid w:val="00974787"/>
    <w:rPr>
      <w:rFonts w:asciiTheme="majorHAnsi" w:eastAsiaTheme="majorEastAsia" w:hAnsiTheme="majorHAnsi" w:cstheme="majorBidi"/>
      <w:color w:val="2F5496" w:themeColor="accent1" w:themeShade="BF"/>
      <w:sz w:val="26"/>
      <w:szCs w:val="26"/>
      <w:lang w:val="en-GB"/>
    </w:rPr>
  </w:style>
  <w:style w:type="paragraph" w:styleId="ab">
    <w:name w:val="Revision"/>
    <w:hidden/>
    <w:uiPriority w:val="99"/>
    <w:semiHidden/>
    <w:rsid w:val="009648AE"/>
    <w:pPr>
      <w:spacing w:after="0" w:line="240" w:lineRule="auto"/>
    </w:pPr>
    <w:rPr>
      <w:rFonts w:ascii="Times" w:eastAsia="Batang" w:hAnsi="Times" w:cs="Times New Roman"/>
      <w:sz w:val="20"/>
      <w:szCs w:val="24"/>
      <w:lang w:val="en-GB"/>
    </w:rPr>
  </w:style>
  <w:style w:type="character" w:customStyle="1" w:styleId="30">
    <w:name w:val="标题 3 字符"/>
    <w:basedOn w:val="a0"/>
    <w:link w:val="3"/>
    <w:uiPriority w:val="9"/>
    <w:semiHidden/>
    <w:rsid w:val="00F6608C"/>
    <w:rPr>
      <w:rFonts w:asciiTheme="majorHAnsi" w:eastAsiaTheme="majorEastAsia" w:hAnsiTheme="majorHAnsi" w:cstheme="majorBidi"/>
      <w:color w:val="1F3763" w:themeColor="accent1" w:themeShade="7F"/>
      <w:sz w:val="24"/>
      <w:szCs w:val="24"/>
      <w:lang w:val="en-GB"/>
    </w:rPr>
  </w:style>
  <w:style w:type="paragraph" w:styleId="ac">
    <w:name w:val="footnote text"/>
    <w:basedOn w:val="a"/>
    <w:link w:val="ad"/>
    <w:uiPriority w:val="99"/>
    <w:semiHidden/>
    <w:unhideWhenUsed/>
    <w:rsid w:val="007B2783"/>
    <w:rPr>
      <w:szCs w:val="20"/>
    </w:rPr>
  </w:style>
  <w:style w:type="character" w:customStyle="1" w:styleId="ad">
    <w:name w:val="脚注文本 字符"/>
    <w:basedOn w:val="a0"/>
    <w:link w:val="ac"/>
    <w:uiPriority w:val="99"/>
    <w:semiHidden/>
    <w:rsid w:val="007B2783"/>
    <w:rPr>
      <w:rFonts w:ascii="Times" w:eastAsia="Batang" w:hAnsi="Times" w:cs="Times New Roman"/>
      <w:sz w:val="20"/>
      <w:szCs w:val="20"/>
      <w:lang w:val="en-GB"/>
    </w:rPr>
  </w:style>
  <w:style w:type="character" w:styleId="ae">
    <w:name w:val="footnote reference"/>
    <w:basedOn w:val="a0"/>
    <w:uiPriority w:val="99"/>
    <w:semiHidden/>
    <w:unhideWhenUsed/>
    <w:rsid w:val="007B2783"/>
    <w:rPr>
      <w:vertAlign w:val="superscript"/>
    </w:rPr>
  </w:style>
  <w:style w:type="paragraph" w:styleId="af">
    <w:name w:val="header"/>
    <w:basedOn w:val="a"/>
    <w:link w:val="af0"/>
    <w:uiPriority w:val="99"/>
    <w:unhideWhenUsed/>
    <w:rsid w:val="00E616EA"/>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rsid w:val="00E616EA"/>
    <w:rPr>
      <w:rFonts w:ascii="Times" w:eastAsia="Batang" w:hAnsi="Times" w:cs="Times New Roman"/>
      <w:sz w:val="18"/>
      <w:szCs w:val="18"/>
      <w:lang w:val="en-GB"/>
    </w:rPr>
  </w:style>
  <w:style w:type="paragraph" w:styleId="af1">
    <w:name w:val="footer"/>
    <w:basedOn w:val="a"/>
    <w:link w:val="af2"/>
    <w:uiPriority w:val="99"/>
    <w:unhideWhenUsed/>
    <w:rsid w:val="00E616EA"/>
    <w:pPr>
      <w:tabs>
        <w:tab w:val="center" w:pos="4153"/>
        <w:tab w:val="right" w:pos="8306"/>
      </w:tabs>
      <w:snapToGrid w:val="0"/>
    </w:pPr>
    <w:rPr>
      <w:sz w:val="18"/>
      <w:szCs w:val="18"/>
    </w:rPr>
  </w:style>
  <w:style w:type="character" w:customStyle="1" w:styleId="af2">
    <w:name w:val="页脚 字符"/>
    <w:basedOn w:val="a0"/>
    <w:link w:val="af1"/>
    <w:uiPriority w:val="99"/>
    <w:rsid w:val="00E616EA"/>
    <w:rPr>
      <w:rFonts w:ascii="Times" w:eastAsia="Batang" w:hAnsi="Times" w:cs="Times New Roman"/>
      <w:sz w:val="18"/>
      <w:szCs w:val="18"/>
      <w:lang w:val="en-GB"/>
    </w:rPr>
  </w:style>
  <w:style w:type="paragraph" w:styleId="af3">
    <w:name w:val="annotation subject"/>
    <w:basedOn w:val="a9"/>
    <w:next w:val="a9"/>
    <w:link w:val="af4"/>
    <w:uiPriority w:val="99"/>
    <w:semiHidden/>
    <w:unhideWhenUsed/>
    <w:rsid w:val="00E616EA"/>
    <w:pPr>
      <w:overflowPunct/>
      <w:autoSpaceDE/>
      <w:autoSpaceDN/>
      <w:adjustRightInd/>
      <w:spacing w:after="0"/>
      <w:textAlignment w:val="auto"/>
    </w:pPr>
    <w:rPr>
      <w:rFonts w:ascii="Times" w:eastAsia="Batang" w:hAnsi="Times"/>
      <w:b/>
      <w:bCs/>
      <w:szCs w:val="24"/>
      <w:lang w:eastAsia="en-US"/>
    </w:rPr>
  </w:style>
  <w:style w:type="character" w:customStyle="1" w:styleId="af4">
    <w:name w:val="批注主题 字符"/>
    <w:basedOn w:val="aa"/>
    <w:link w:val="af3"/>
    <w:uiPriority w:val="99"/>
    <w:semiHidden/>
    <w:rsid w:val="00E616EA"/>
    <w:rPr>
      <w:rFonts w:ascii="Times" w:eastAsia="Batang" w:hAnsi="Times" w:cs="Times New Roman"/>
      <w:b/>
      <w:bCs/>
      <w:sz w:val="20"/>
      <w:szCs w:val="24"/>
      <w:lang w:val="en-GB" w:eastAsia="ja-JP"/>
    </w:rPr>
  </w:style>
  <w:style w:type="paragraph" w:customStyle="1" w:styleId="Agreement">
    <w:name w:val="Agreement"/>
    <w:basedOn w:val="a"/>
    <w:next w:val="a"/>
    <w:uiPriority w:val="99"/>
    <w:qFormat/>
    <w:rsid w:val="004D4ABD"/>
    <w:pPr>
      <w:numPr>
        <w:numId w:val="14"/>
      </w:numPr>
      <w:spacing w:before="60"/>
    </w:pPr>
    <w:rPr>
      <w:rFonts w:ascii="Arial" w:eastAsia="MS Mincho" w:hAnsi="Arial"/>
      <w:b/>
      <w:lang w:eastAsia="en-GB"/>
    </w:rPr>
  </w:style>
  <w:style w:type="character" w:customStyle="1" w:styleId="a7">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6"/>
    <w:uiPriority w:val="99"/>
    <w:rsid w:val="0092536B"/>
    <w:rPr>
      <w:rFonts w:ascii="Times" w:eastAsia="Batang" w:hAnsi="Times"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826061">
      <w:bodyDiv w:val="1"/>
      <w:marLeft w:val="0"/>
      <w:marRight w:val="0"/>
      <w:marTop w:val="0"/>
      <w:marBottom w:val="0"/>
      <w:divBdr>
        <w:top w:val="none" w:sz="0" w:space="0" w:color="auto"/>
        <w:left w:val="none" w:sz="0" w:space="0" w:color="auto"/>
        <w:bottom w:val="none" w:sz="0" w:space="0" w:color="auto"/>
        <w:right w:val="none" w:sz="0" w:space="0" w:color="auto"/>
      </w:divBdr>
    </w:div>
    <w:div w:id="1988892937">
      <w:bodyDiv w:val="1"/>
      <w:marLeft w:val="0"/>
      <w:marRight w:val="0"/>
      <w:marTop w:val="0"/>
      <w:marBottom w:val="0"/>
      <w:divBdr>
        <w:top w:val="none" w:sz="0" w:space="0" w:color="auto"/>
        <w:left w:val="none" w:sz="0" w:space="0" w:color="auto"/>
        <w:bottom w:val="none" w:sz="0" w:space="0" w:color="auto"/>
        <w:right w:val="none" w:sz="0" w:space="0" w:color="auto"/>
      </w:divBdr>
    </w:div>
    <w:div w:id="2042973251">
      <w:bodyDiv w:val="1"/>
      <w:marLeft w:val="0"/>
      <w:marRight w:val="0"/>
      <w:marTop w:val="0"/>
      <w:marBottom w:val="0"/>
      <w:divBdr>
        <w:top w:val="none" w:sz="0" w:space="0" w:color="auto"/>
        <w:left w:val="none" w:sz="0" w:space="0" w:color="auto"/>
        <w:bottom w:val="none" w:sz="0" w:space="0" w:color="auto"/>
        <w:right w:val="none" w:sz="0" w:space="0" w:color="auto"/>
      </w:divBdr>
    </w:div>
    <w:div w:id="20869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B59D0-5419-45FA-A3BE-1455A39E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Lianhai</cp:lastModifiedBy>
  <cp:revision>42</cp:revision>
  <dcterms:created xsi:type="dcterms:W3CDTF">2023-04-05T12:14:00Z</dcterms:created>
  <dcterms:modified xsi:type="dcterms:W3CDTF">2023-08-10T03:19:00Z</dcterms:modified>
</cp:coreProperties>
</file>